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EFCED" w14:textId="77777777" w:rsidR="0045760E" w:rsidRDefault="0045760E"/>
    <w:p w14:paraId="5CF2D26E" w14:textId="022F5320" w:rsidR="0045760E" w:rsidRPr="00BF0D69" w:rsidRDefault="0045760E" w:rsidP="0045760E">
      <w:pPr>
        <w:shd w:val="clear" w:color="auto" w:fill="FFFFFF"/>
        <w:spacing w:after="240" w:line="240" w:lineRule="auto"/>
        <w:jc w:val="center"/>
        <w:rPr>
          <w:rFonts w:ascii="Times New Roman" w:eastAsia="Times New Roman" w:hAnsi="Times New Roman" w:cs="Times New Roman"/>
          <w:b/>
          <w:bCs/>
          <w:color w:val="000000"/>
          <w:kern w:val="0"/>
          <w:sz w:val="36"/>
          <w:szCs w:val="36"/>
          <w:lang w:eastAsia="it-IT"/>
          <w14:ligatures w14:val="none"/>
        </w:rPr>
      </w:pPr>
      <w:r w:rsidRPr="00BF0D69">
        <w:rPr>
          <w:rFonts w:ascii="Times New Roman" w:eastAsia="Times New Roman" w:hAnsi="Times New Roman" w:cs="Times New Roman"/>
          <w:b/>
          <w:bCs/>
          <w:color w:val="000000"/>
          <w:kern w:val="0"/>
          <w:sz w:val="36"/>
          <w:szCs w:val="36"/>
          <w:lang w:eastAsia="it-IT"/>
          <w14:ligatures w14:val="none"/>
        </w:rPr>
        <w:t>Corte Europea del Diritti dell’Uomo</w:t>
      </w:r>
    </w:p>
    <w:p w14:paraId="73B90B06" w14:textId="276B5D9B" w:rsidR="0045760E" w:rsidRPr="0045760E" w:rsidRDefault="0045760E" w:rsidP="0045760E">
      <w:pPr>
        <w:shd w:val="clear" w:color="auto" w:fill="FFFFFF"/>
        <w:spacing w:after="240" w:line="240" w:lineRule="auto"/>
        <w:jc w:val="center"/>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PRIMA SEZIONE</w:t>
      </w:r>
    </w:p>
    <w:p w14:paraId="1CE8DFFD" w14:textId="77777777" w:rsidR="0045760E" w:rsidRPr="0045760E" w:rsidRDefault="0045760E" w:rsidP="0045760E">
      <w:pPr>
        <w:shd w:val="clear" w:color="auto" w:fill="FFFFFF"/>
        <w:spacing w:before="480" w:after="240" w:line="240" w:lineRule="auto"/>
        <w:jc w:val="center"/>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CASO UBEDA E ALTRI contro Italia</w:t>
      </w:r>
    </w:p>
    <w:p w14:paraId="2CE5BBA9" w14:textId="77777777" w:rsidR="0045760E" w:rsidRPr="0045760E" w:rsidRDefault="0045760E" w:rsidP="0045760E">
      <w:pPr>
        <w:shd w:val="clear" w:color="auto" w:fill="FFFFFF"/>
        <w:spacing w:after="0" w:line="240" w:lineRule="auto"/>
        <w:jc w:val="center"/>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i/>
          <w:iCs/>
          <w:color w:val="000000"/>
          <w:kern w:val="0"/>
          <w:lang w:eastAsia="it-IT"/>
          <w14:ligatures w14:val="none"/>
        </w:rPr>
        <w:t>(Domanda n. </w:t>
      </w:r>
      <w:hyperlink r:id="rId5" w:anchor="{%22appno%22:[%229993/24%22]}" w:tgtFrame="_blank" w:history="1">
        <w:r w:rsidRPr="0045760E">
          <w:rPr>
            <w:rFonts w:ascii="Times New Roman" w:eastAsia="Times New Roman" w:hAnsi="Times New Roman" w:cs="Times New Roman"/>
            <w:i/>
            <w:iCs/>
            <w:color w:val="0069D6"/>
            <w:kern w:val="0"/>
            <w:u w:val="single"/>
            <w:lang w:eastAsia="it-IT"/>
            <w14:ligatures w14:val="none"/>
          </w:rPr>
          <w:t>9993/24</w:t>
        </w:r>
      </w:hyperlink>
      <w:r w:rsidRPr="0045760E">
        <w:rPr>
          <w:rFonts w:ascii="Times New Roman" w:eastAsia="Times New Roman" w:hAnsi="Times New Roman" w:cs="Times New Roman"/>
          <w:i/>
          <w:iCs/>
          <w:color w:val="000000"/>
          <w:kern w:val="0"/>
          <w:lang w:eastAsia="it-IT"/>
          <w14:ligatures w14:val="none"/>
        </w:rPr>
        <w:t>)</w:t>
      </w:r>
    </w:p>
    <w:p w14:paraId="045D1891" w14:textId="77777777" w:rsidR="0045760E" w:rsidRPr="0045760E" w:rsidRDefault="0045760E" w:rsidP="0045760E">
      <w:pPr>
        <w:shd w:val="clear" w:color="auto" w:fill="FFFFFF"/>
        <w:spacing w:after="240" w:line="240" w:lineRule="auto"/>
        <w:jc w:val="center"/>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 </w:t>
      </w:r>
    </w:p>
    <w:p w14:paraId="028421CF" w14:textId="77777777" w:rsidR="0045760E" w:rsidRPr="0045760E" w:rsidRDefault="0045760E" w:rsidP="0045760E">
      <w:pPr>
        <w:shd w:val="clear" w:color="auto" w:fill="FFFFFF"/>
        <w:spacing w:after="0" w:line="240" w:lineRule="auto"/>
        <w:jc w:val="center"/>
        <w:rPr>
          <w:rFonts w:ascii="Times New Roman" w:eastAsia="Times New Roman" w:hAnsi="Times New Roman" w:cs="Times New Roman"/>
          <w:b/>
          <w:bCs/>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SENTENZA</w:t>
      </w:r>
      <w:r w:rsidRPr="0045760E">
        <w:rPr>
          <w:rFonts w:ascii="Times New Roman" w:eastAsia="Times New Roman" w:hAnsi="Times New Roman" w:cs="Times New Roman"/>
          <w:b/>
          <w:bCs/>
          <w:color w:val="000000"/>
          <w:kern w:val="0"/>
          <w:lang w:eastAsia="it-IT"/>
          <w14:ligatures w14:val="none"/>
        </w:rPr>
        <w:br/>
        <w:t> </w:t>
      </w:r>
    </w:p>
    <w:p w14:paraId="2211BF58" w14:textId="65D6557A" w:rsidR="0045760E" w:rsidRPr="0045760E" w:rsidRDefault="0045760E" w:rsidP="0045760E">
      <w:pPr>
        <w:shd w:val="clear" w:color="auto" w:fill="FFFFFF"/>
        <w:spacing w:after="0" w:line="240" w:lineRule="auto"/>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Art. 3 e art. 8</w:t>
      </w:r>
      <w:r w:rsidRPr="0045760E">
        <w:rPr>
          <w:rFonts w:ascii="Times New Roman" w:eastAsia="Times New Roman" w:hAnsi="Times New Roman" w:cs="Times New Roman"/>
          <w:color w:val="000000"/>
          <w:kern w:val="0"/>
          <w:lang w:eastAsia="it-IT"/>
          <w14:ligatures w14:val="none"/>
        </w:rPr>
        <w:t xml:space="preserve"> • Obblighi positivi • Indagine inefficace sulle denunce della prima ricorrente per violenza domestica contro di lei e i suoi figli minorenni (seconda e terza ricorrente) nonché sulla violenza sessuale nei suoi confronti • Collegamento chiaro tra i ritardi nei procedimenti penali e l'efficacia complessiva dell'indagine • Le procedure non tempestive, approfondite o efficaci • Le motivazioni fornite dal pubblico ministero per l'interruzione del procedimento penale riflettevano un rapporto sessista e stereotipato cultura che doveva essere evitata nelle aule di tribunale della magistratura nazionale • Il mancato riconoscimento da parte delle autorità nazionali delle complesse dinamiche della violenza domestica e la risposta proporzionata alla gravità dei fatti allegati • Mancata adozione di misure protettive adeguate e proporzionate • Il rifugio dei richiedenti in un rifugio per più di tre anni comportava una significativa interferenza con i loro diritti e libertà e imponeva loro un onere più pesante rispetto alle presunte autore • Mancata considerazione da parte delle autorità nazionali di altre misure o di una valutazione continua dell'adeguatezza e proporzionalità dell'accoglienza </w:t>
      </w:r>
      <w:proofErr w:type="spellStart"/>
      <w:r w:rsidRPr="0045760E">
        <w:rPr>
          <w:rFonts w:ascii="Times New Roman" w:eastAsia="Times New Roman" w:hAnsi="Times New Roman" w:cs="Times New Roman"/>
          <w:color w:val="000000"/>
          <w:kern w:val="0"/>
          <w:lang w:eastAsia="it-IT"/>
          <w14:ligatures w14:val="none"/>
        </w:rPr>
        <w:t>dell'accoglienza</w:t>
      </w:r>
      <w:proofErr w:type="spellEnd"/>
      <w:r w:rsidRPr="0045760E">
        <w:rPr>
          <w:rFonts w:ascii="Times New Roman" w:eastAsia="Times New Roman" w:hAnsi="Times New Roman" w:cs="Times New Roman"/>
          <w:color w:val="000000"/>
          <w:kern w:val="0"/>
          <w:lang w:eastAsia="it-IT"/>
          <w14:ligatures w14:val="none"/>
        </w:rPr>
        <w:t xml:space="preserve"> in un rifugio</w:t>
      </w:r>
    </w:p>
    <w:p w14:paraId="1DE64ED7" w14:textId="77777777" w:rsidR="0045760E" w:rsidRPr="0045760E" w:rsidRDefault="0045760E" w:rsidP="0045760E">
      <w:pPr>
        <w:shd w:val="clear" w:color="auto" w:fill="FFFFFF"/>
        <w:spacing w:after="0" w:line="240" w:lineRule="auto"/>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Art. 8</w:t>
      </w:r>
      <w:r w:rsidRPr="0045760E">
        <w:rPr>
          <w:rFonts w:ascii="Times New Roman" w:eastAsia="Times New Roman" w:hAnsi="Times New Roman" w:cs="Times New Roman"/>
          <w:color w:val="000000"/>
          <w:kern w:val="0"/>
          <w:lang w:eastAsia="it-IT"/>
          <w14:ligatures w14:val="none"/>
        </w:rPr>
        <w:t xml:space="preserve"> • Obblighi positivi • Decisione finale del Tribunale per i minori di revocare la responsabilità genitoriale del presunto autore presa tre anni dopo l'avvio del procedimento di affidamento da parte della prima ricorrente, senza affrontare le sue richieste di trasferimento e mantenimento • Accuse di violenza domestica ignorate, rafforzate e prolungate la sua sofferenza, nonché la percezione che la violenza subita rimanesse inosservata • Mancanza di agire con la dovuta diligenza e tempestività in tutela dei diritti del primo richiedente ai sensi dell'articolo 8 • L'inerzia nei procedimenti di custodia creò un clima prolungato di incertezza riguardo alla natura del rapporto del presunto autore con i suoi figli e alla possibilità che lasciassero il rifugio con la madre • Il prolungato soggiorno dei bambini nel rifugio comportò conseguenze significative per il loro benessere psicologico e fisico • Mancata valutazione dell'impatto del soggiorno dei bambini nel rifugio</w:t>
      </w:r>
    </w:p>
    <w:p w14:paraId="64972C82" w14:textId="77777777" w:rsidR="0045760E" w:rsidRPr="00BF0D69" w:rsidRDefault="0045760E">
      <w:pPr>
        <w:rPr>
          <w:rFonts w:ascii="Times New Roman" w:hAnsi="Times New Roman" w:cs="Times New Roman"/>
        </w:rPr>
      </w:pPr>
    </w:p>
    <w:p w14:paraId="066B129B" w14:textId="77777777" w:rsidR="0045760E" w:rsidRPr="0045760E" w:rsidRDefault="0045760E" w:rsidP="0045760E">
      <w:pPr>
        <w:shd w:val="clear" w:color="auto" w:fill="FFFFFF"/>
        <w:spacing w:after="200" w:line="240" w:lineRule="auto"/>
        <w:jc w:val="center"/>
        <w:rPr>
          <w:rFonts w:ascii="Times New Roman" w:eastAsia="Times New Roman" w:hAnsi="Times New Roman" w:cs="Times New Roman"/>
          <w:b/>
          <w:bCs/>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STRASBURGO</w:t>
      </w:r>
    </w:p>
    <w:p w14:paraId="54B5838C" w14:textId="77777777" w:rsidR="0045760E" w:rsidRPr="0045760E" w:rsidRDefault="0045760E" w:rsidP="0045760E">
      <w:pPr>
        <w:shd w:val="clear" w:color="auto" w:fill="FFFFFF"/>
        <w:spacing w:after="120" w:line="240" w:lineRule="auto"/>
        <w:jc w:val="center"/>
        <w:rPr>
          <w:rFonts w:ascii="Times New Roman" w:eastAsia="Times New Roman" w:hAnsi="Times New Roman" w:cs="Times New Roman"/>
          <w:b/>
          <w:bCs/>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2 luglio 2026</w:t>
      </w:r>
    </w:p>
    <w:p w14:paraId="52847763"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 </w:t>
      </w:r>
    </w:p>
    <w:p w14:paraId="3EE4EF86" w14:textId="77777777" w:rsidR="0045760E" w:rsidRPr="0045760E" w:rsidRDefault="0045760E" w:rsidP="0045760E">
      <w:pPr>
        <w:shd w:val="clear" w:color="auto" w:fill="FFFFFF"/>
        <w:spacing w:after="0" w:line="240" w:lineRule="auto"/>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i/>
          <w:iCs/>
          <w:color w:val="000000"/>
          <w:kern w:val="0"/>
          <w:lang w:eastAsia="it-IT"/>
          <w14:ligatures w14:val="none"/>
        </w:rPr>
        <w:t>Questa sentenza diventerà definitiva nelle circostanze stabilite nell'articolo 44 § 2 della Convenzione. Può essere soggetto a revisioni editoriali.</w:t>
      </w:r>
    </w:p>
    <w:p w14:paraId="6FC5CA5C" w14:textId="77777777" w:rsidR="0045760E" w:rsidRPr="0045760E" w:rsidRDefault="0045760E" w:rsidP="0045760E">
      <w:pPr>
        <w:spacing w:after="0" w:line="240" w:lineRule="auto"/>
        <w:rPr>
          <w:rFonts w:ascii="Times New Roman" w:eastAsia="Times New Roman" w:hAnsi="Times New Roman" w:cs="Times New Roman"/>
          <w:kern w:val="0"/>
          <w:lang w:eastAsia="it-IT"/>
          <w14:ligatures w14:val="none"/>
        </w:rPr>
      </w:pPr>
      <w:r w:rsidRPr="0045760E">
        <w:rPr>
          <w:rFonts w:ascii="Times New Roman" w:eastAsia="Times New Roman" w:hAnsi="Times New Roman" w:cs="Times New Roman"/>
          <w:color w:val="000000"/>
          <w:kern w:val="0"/>
          <w:lang w:eastAsia="it-IT"/>
          <w14:ligatures w14:val="none"/>
        </w:rPr>
        <w:br w:type="textWrapping" w:clear="all"/>
      </w:r>
    </w:p>
    <w:p w14:paraId="11F10DBB" w14:textId="77777777" w:rsidR="0045760E" w:rsidRPr="00BF0D69" w:rsidRDefault="0045760E" w:rsidP="0045760E">
      <w:pPr>
        <w:shd w:val="clear" w:color="auto" w:fill="FFFFFF"/>
        <w:spacing w:after="0" w:line="240" w:lineRule="auto"/>
        <w:ind w:firstLine="284"/>
        <w:jc w:val="both"/>
        <w:rPr>
          <w:rFonts w:ascii="Times New Roman" w:eastAsia="Times New Roman" w:hAnsi="Times New Roman" w:cs="Times New Roman"/>
          <w:b/>
          <w:bCs/>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 xml:space="preserve">Nel caso </w:t>
      </w:r>
      <w:proofErr w:type="spellStart"/>
      <w:r w:rsidRPr="0045760E">
        <w:rPr>
          <w:rFonts w:ascii="Times New Roman" w:eastAsia="Times New Roman" w:hAnsi="Times New Roman" w:cs="Times New Roman"/>
          <w:b/>
          <w:bCs/>
          <w:color w:val="000000"/>
          <w:kern w:val="0"/>
          <w:lang w:eastAsia="it-IT"/>
          <w14:ligatures w14:val="none"/>
        </w:rPr>
        <w:t>Ubeda</w:t>
      </w:r>
      <w:proofErr w:type="spellEnd"/>
      <w:r w:rsidRPr="0045760E">
        <w:rPr>
          <w:rFonts w:ascii="Times New Roman" w:eastAsia="Times New Roman" w:hAnsi="Times New Roman" w:cs="Times New Roman"/>
          <w:b/>
          <w:bCs/>
          <w:color w:val="000000"/>
          <w:kern w:val="0"/>
          <w:lang w:eastAsia="it-IT"/>
          <w14:ligatures w14:val="none"/>
        </w:rPr>
        <w:t xml:space="preserve"> e altri contro Italia,</w:t>
      </w:r>
    </w:p>
    <w:p w14:paraId="5DAF244F"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67A87E65"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La Corte Europea dei Diritti dell'Uomo (Prima Sezione), riunita come Camera composta da:</w:t>
      </w:r>
    </w:p>
    <w:p w14:paraId="4605E320" w14:textId="2310C969" w:rsidR="0045760E" w:rsidRPr="0045760E" w:rsidRDefault="0045760E" w:rsidP="0045760E">
      <w:pPr>
        <w:shd w:val="clear" w:color="auto" w:fill="FFFFFF"/>
        <w:spacing w:after="0" w:line="240" w:lineRule="auto"/>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 xml:space="preserve">Ivana </w:t>
      </w:r>
      <w:proofErr w:type="spellStart"/>
      <w:r w:rsidRPr="0045760E">
        <w:rPr>
          <w:rFonts w:ascii="Times New Roman" w:eastAsia="Times New Roman" w:hAnsi="Times New Roman" w:cs="Times New Roman"/>
          <w:color w:val="000000"/>
          <w:kern w:val="0"/>
          <w:lang w:eastAsia="it-IT"/>
          <w14:ligatures w14:val="none"/>
        </w:rPr>
        <w:t>Jelić</w:t>
      </w:r>
      <w:proofErr w:type="spellEnd"/>
      <w:r w:rsidRPr="0045760E">
        <w:rPr>
          <w:rFonts w:ascii="Times New Roman" w:eastAsia="Times New Roman" w:hAnsi="Times New Roman" w:cs="Times New Roman"/>
          <w:i/>
          <w:iCs/>
          <w:color w:val="000000"/>
          <w:kern w:val="0"/>
          <w:lang w:eastAsia="it-IT"/>
          <w14:ligatures w14:val="none"/>
        </w:rPr>
        <w:t>, Presidente</w:t>
      </w:r>
      <w:r w:rsidRPr="0045760E">
        <w:rPr>
          <w:rFonts w:ascii="Times New Roman" w:eastAsia="Times New Roman" w:hAnsi="Times New Roman" w:cs="Times New Roman"/>
          <w:color w:val="000000"/>
          <w:kern w:val="0"/>
          <w:lang w:eastAsia="it-IT"/>
          <w14:ligatures w14:val="none"/>
        </w:rPr>
        <w:t>,</w:t>
      </w:r>
      <w:r w:rsidRPr="0045760E">
        <w:rPr>
          <w:rFonts w:ascii="Times New Roman" w:eastAsia="Times New Roman" w:hAnsi="Times New Roman" w:cs="Times New Roman"/>
          <w:color w:val="000000"/>
          <w:kern w:val="0"/>
          <w:lang w:eastAsia="it-IT"/>
          <w14:ligatures w14:val="none"/>
        </w:rPr>
        <w:br/>
        <w:t xml:space="preserve">Erik </w:t>
      </w:r>
      <w:proofErr w:type="spellStart"/>
      <w:r w:rsidRPr="0045760E">
        <w:rPr>
          <w:rFonts w:ascii="Times New Roman" w:eastAsia="Times New Roman" w:hAnsi="Times New Roman" w:cs="Times New Roman"/>
          <w:color w:val="000000"/>
          <w:kern w:val="0"/>
          <w:lang w:eastAsia="it-IT"/>
          <w14:ligatures w14:val="none"/>
        </w:rPr>
        <w:t>Wennerström</w:t>
      </w:r>
      <w:proofErr w:type="spellEnd"/>
      <w:r w:rsidRPr="0045760E">
        <w:rPr>
          <w:rFonts w:ascii="Times New Roman" w:eastAsia="Times New Roman" w:hAnsi="Times New Roman" w:cs="Times New Roman"/>
          <w:color w:val="000000"/>
          <w:kern w:val="0"/>
          <w:lang w:eastAsia="it-IT"/>
          <w14:ligatures w14:val="none"/>
        </w:rPr>
        <w:t>,</w:t>
      </w:r>
      <w:r w:rsidRPr="0045760E">
        <w:rPr>
          <w:rFonts w:ascii="Times New Roman" w:eastAsia="Times New Roman" w:hAnsi="Times New Roman" w:cs="Times New Roman"/>
          <w:color w:val="000000"/>
          <w:kern w:val="0"/>
          <w:lang w:eastAsia="it-IT"/>
          <w14:ligatures w14:val="none"/>
        </w:rPr>
        <w:br/>
      </w:r>
      <w:r w:rsidRPr="0045760E">
        <w:rPr>
          <w:rFonts w:ascii="Times New Roman" w:eastAsia="Times New Roman" w:hAnsi="Times New Roman" w:cs="Times New Roman"/>
          <w:color w:val="000000"/>
          <w:kern w:val="0"/>
          <w:lang w:eastAsia="it-IT"/>
          <w14:ligatures w14:val="none"/>
        </w:rPr>
        <w:lastRenderedPageBreak/>
        <w:t>Raffaele Sabato,</w:t>
      </w:r>
      <w:r w:rsidRPr="0045760E">
        <w:rPr>
          <w:rFonts w:ascii="Times New Roman" w:eastAsia="Times New Roman" w:hAnsi="Times New Roman" w:cs="Times New Roman"/>
          <w:color w:val="000000"/>
          <w:kern w:val="0"/>
          <w:lang w:eastAsia="it-IT"/>
          <w14:ligatures w14:val="none"/>
        </w:rPr>
        <w:br/>
        <w:t xml:space="preserve">Davor </w:t>
      </w:r>
      <w:proofErr w:type="spellStart"/>
      <w:r w:rsidRPr="0045760E">
        <w:rPr>
          <w:rFonts w:ascii="Times New Roman" w:eastAsia="Times New Roman" w:hAnsi="Times New Roman" w:cs="Times New Roman"/>
          <w:color w:val="000000"/>
          <w:kern w:val="0"/>
          <w:lang w:eastAsia="it-IT"/>
          <w14:ligatures w14:val="none"/>
        </w:rPr>
        <w:t>Derenčinović</w:t>
      </w:r>
      <w:proofErr w:type="spellEnd"/>
      <w:r w:rsidRPr="0045760E">
        <w:rPr>
          <w:rFonts w:ascii="Times New Roman" w:eastAsia="Times New Roman" w:hAnsi="Times New Roman" w:cs="Times New Roman"/>
          <w:color w:val="000000"/>
          <w:kern w:val="0"/>
          <w:lang w:eastAsia="it-IT"/>
          <w14:ligatures w14:val="none"/>
        </w:rPr>
        <w:t>,</w:t>
      </w:r>
      <w:r w:rsidRPr="0045760E">
        <w:rPr>
          <w:rFonts w:ascii="Times New Roman" w:eastAsia="Times New Roman" w:hAnsi="Times New Roman" w:cs="Times New Roman"/>
          <w:color w:val="000000"/>
          <w:kern w:val="0"/>
          <w:lang w:eastAsia="it-IT"/>
          <w14:ligatures w14:val="none"/>
        </w:rPr>
        <w:br/>
        <w:t xml:space="preserve">Alain </w:t>
      </w:r>
      <w:proofErr w:type="spellStart"/>
      <w:r w:rsidRPr="0045760E">
        <w:rPr>
          <w:rFonts w:ascii="Times New Roman" w:eastAsia="Times New Roman" w:hAnsi="Times New Roman" w:cs="Times New Roman"/>
          <w:color w:val="000000"/>
          <w:kern w:val="0"/>
          <w:lang w:eastAsia="it-IT"/>
          <w14:ligatures w14:val="none"/>
        </w:rPr>
        <w:t>Chablais</w:t>
      </w:r>
      <w:proofErr w:type="spellEnd"/>
      <w:r w:rsidRPr="0045760E">
        <w:rPr>
          <w:rFonts w:ascii="Times New Roman" w:eastAsia="Times New Roman" w:hAnsi="Times New Roman" w:cs="Times New Roman"/>
          <w:color w:val="000000"/>
          <w:kern w:val="0"/>
          <w:lang w:eastAsia="it-IT"/>
          <w14:ligatures w14:val="none"/>
        </w:rPr>
        <w:t>,</w:t>
      </w:r>
      <w:r w:rsidRPr="0045760E">
        <w:rPr>
          <w:rFonts w:ascii="Times New Roman" w:eastAsia="Times New Roman" w:hAnsi="Times New Roman" w:cs="Times New Roman"/>
          <w:color w:val="000000"/>
          <w:kern w:val="0"/>
          <w:lang w:eastAsia="it-IT"/>
          <w14:ligatures w14:val="none"/>
        </w:rPr>
        <w:br/>
      </w:r>
      <w:proofErr w:type="spellStart"/>
      <w:r w:rsidRPr="0045760E">
        <w:rPr>
          <w:rFonts w:ascii="Times New Roman" w:eastAsia="Times New Roman" w:hAnsi="Times New Roman" w:cs="Times New Roman"/>
          <w:color w:val="000000"/>
          <w:kern w:val="0"/>
          <w:lang w:eastAsia="it-IT"/>
          <w14:ligatures w14:val="none"/>
        </w:rPr>
        <w:t>Artūrs</w:t>
      </w:r>
      <w:proofErr w:type="spellEnd"/>
      <w:r w:rsidRPr="0045760E">
        <w:rPr>
          <w:rFonts w:ascii="Times New Roman" w:eastAsia="Times New Roman" w:hAnsi="Times New Roman" w:cs="Times New Roman"/>
          <w:color w:val="000000"/>
          <w:kern w:val="0"/>
          <w:lang w:eastAsia="it-IT"/>
          <w14:ligatures w14:val="none"/>
        </w:rPr>
        <w:t xml:space="preserve"> </w:t>
      </w:r>
      <w:proofErr w:type="spellStart"/>
      <w:r w:rsidRPr="0045760E">
        <w:rPr>
          <w:rFonts w:ascii="Times New Roman" w:eastAsia="Times New Roman" w:hAnsi="Times New Roman" w:cs="Times New Roman"/>
          <w:color w:val="000000"/>
          <w:kern w:val="0"/>
          <w:lang w:eastAsia="it-IT"/>
          <w14:ligatures w14:val="none"/>
        </w:rPr>
        <w:t>Kučs</w:t>
      </w:r>
      <w:proofErr w:type="spellEnd"/>
      <w:r w:rsidRPr="0045760E">
        <w:rPr>
          <w:rFonts w:ascii="Times New Roman" w:eastAsia="Times New Roman" w:hAnsi="Times New Roman" w:cs="Times New Roman"/>
          <w:color w:val="000000"/>
          <w:kern w:val="0"/>
          <w:lang w:eastAsia="it-IT"/>
          <w14:ligatures w14:val="none"/>
        </w:rPr>
        <w:t>,</w:t>
      </w:r>
      <w:r w:rsidRPr="0045760E">
        <w:rPr>
          <w:rFonts w:ascii="Times New Roman" w:eastAsia="Times New Roman" w:hAnsi="Times New Roman" w:cs="Times New Roman"/>
          <w:color w:val="000000"/>
          <w:kern w:val="0"/>
          <w:lang w:eastAsia="it-IT"/>
          <w14:ligatures w14:val="none"/>
        </w:rPr>
        <w:br/>
        <w:t xml:space="preserve">Anna </w:t>
      </w:r>
      <w:proofErr w:type="spellStart"/>
      <w:r w:rsidRPr="0045760E">
        <w:rPr>
          <w:rFonts w:ascii="Times New Roman" w:eastAsia="Times New Roman" w:hAnsi="Times New Roman" w:cs="Times New Roman"/>
          <w:color w:val="000000"/>
          <w:kern w:val="0"/>
          <w:lang w:eastAsia="it-IT"/>
          <w14:ligatures w14:val="none"/>
        </w:rPr>
        <w:t>Adamska</w:t>
      </w:r>
      <w:proofErr w:type="spellEnd"/>
      <w:r w:rsidRPr="0045760E">
        <w:rPr>
          <w:rFonts w:ascii="Times New Roman" w:eastAsia="Times New Roman" w:hAnsi="Times New Roman" w:cs="Times New Roman"/>
          <w:color w:val="000000"/>
          <w:kern w:val="0"/>
          <w:lang w:eastAsia="it-IT"/>
          <w14:ligatures w14:val="none"/>
        </w:rPr>
        <w:t>-Gallant</w:t>
      </w:r>
      <w:r w:rsidRPr="0045760E">
        <w:rPr>
          <w:rFonts w:ascii="Times New Roman" w:eastAsia="Times New Roman" w:hAnsi="Times New Roman" w:cs="Times New Roman"/>
          <w:i/>
          <w:iCs/>
          <w:color w:val="000000"/>
          <w:kern w:val="0"/>
          <w:lang w:eastAsia="it-IT"/>
          <w14:ligatures w14:val="none"/>
        </w:rPr>
        <w:t>, giudici</w:t>
      </w:r>
      <w:r w:rsidRPr="0045760E">
        <w:rPr>
          <w:rFonts w:ascii="Times New Roman" w:eastAsia="Times New Roman" w:hAnsi="Times New Roman" w:cs="Times New Roman"/>
          <w:color w:val="000000"/>
          <w:kern w:val="0"/>
          <w:lang w:eastAsia="it-IT"/>
          <w14:ligatures w14:val="none"/>
        </w:rPr>
        <w:t>,</w:t>
      </w:r>
      <w:r w:rsidRPr="0045760E">
        <w:rPr>
          <w:rFonts w:ascii="Times New Roman" w:eastAsia="Times New Roman" w:hAnsi="Times New Roman" w:cs="Times New Roman"/>
          <w:color w:val="000000"/>
          <w:kern w:val="0"/>
          <w:lang w:eastAsia="it-IT"/>
          <w14:ligatures w14:val="none"/>
        </w:rPr>
        <w:br/>
        <w:t xml:space="preserve">e Ilse </w:t>
      </w:r>
      <w:proofErr w:type="spellStart"/>
      <w:r w:rsidRPr="0045760E">
        <w:rPr>
          <w:rFonts w:ascii="Times New Roman" w:eastAsia="Times New Roman" w:hAnsi="Times New Roman" w:cs="Times New Roman"/>
          <w:color w:val="000000"/>
          <w:kern w:val="0"/>
          <w:lang w:eastAsia="it-IT"/>
          <w14:ligatures w14:val="none"/>
        </w:rPr>
        <w:t>Freiwirth</w:t>
      </w:r>
      <w:proofErr w:type="spellEnd"/>
      <w:r w:rsidRPr="0045760E">
        <w:rPr>
          <w:rFonts w:ascii="Times New Roman" w:eastAsia="Times New Roman" w:hAnsi="Times New Roman" w:cs="Times New Roman"/>
          <w:color w:val="000000"/>
          <w:kern w:val="0"/>
          <w:lang w:eastAsia="it-IT"/>
          <w14:ligatures w14:val="none"/>
        </w:rPr>
        <w:t>, </w:t>
      </w:r>
      <w:r w:rsidRPr="0045760E">
        <w:rPr>
          <w:rFonts w:ascii="Times New Roman" w:eastAsia="Times New Roman" w:hAnsi="Times New Roman" w:cs="Times New Roman"/>
          <w:i/>
          <w:iCs/>
          <w:color w:val="000000"/>
          <w:kern w:val="0"/>
          <w:lang w:eastAsia="it-IT"/>
          <w14:ligatures w14:val="none"/>
        </w:rPr>
        <w:t>Cancelliere di Sezione,</w:t>
      </w:r>
      <w:r w:rsidRPr="0045760E">
        <w:rPr>
          <w:rFonts w:ascii="Times New Roman" w:eastAsia="Times New Roman" w:hAnsi="Times New Roman" w:cs="Times New Roman"/>
          <w:color w:val="000000"/>
          <w:kern w:val="0"/>
          <w:lang w:eastAsia="it-IT"/>
          <w14:ligatures w14:val="none"/>
        </w:rPr>
        <w:t>      </w:t>
      </w:r>
    </w:p>
    <w:p w14:paraId="25FA3DAF" w14:textId="77777777" w:rsidR="0045760E" w:rsidRPr="00BF0D69"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54F4AA99" w14:textId="77777777" w:rsidR="0045760E" w:rsidRPr="00BF0D69"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6AE714D2" w14:textId="0C1D23D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Tenendo conto di:</w:t>
      </w:r>
    </w:p>
    <w:p w14:paraId="3E16A018" w14:textId="37E2A04A"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La domanda (n. </w:t>
      </w:r>
      <w:hyperlink r:id="rId6" w:anchor="{%22appno%22:[%229993/24%22]}" w:tgtFrame="_blank" w:history="1">
        <w:r w:rsidRPr="0045760E">
          <w:rPr>
            <w:rFonts w:ascii="Times New Roman" w:eastAsia="Times New Roman" w:hAnsi="Times New Roman" w:cs="Times New Roman"/>
            <w:color w:val="0069D6"/>
            <w:kern w:val="0"/>
            <w:u w:val="single"/>
            <w:lang w:eastAsia="it-IT"/>
            <w14:ligatures w14:val="none"/>
          </w:rPr>
          <w:t>9993/24</w:t>
        </w:r>
      </w:hyperlink>
      <w:r w:rsidRPr="0045760E">
        <w:rPr>
          <w:rFonts w:ascii="Times New Roman" w:eastAsia="Times New Roman" w:hAnsi="Times New Roman" w:cs="Times New Roman"/>
          <w:color w:val="000000"/>
          <w:kern w:val="0"/>
          <w:lang w:eastAsia="it-IT"/>
          <w14:ligatures w14:val="none"/>
        </w:rPr>
        <w:t xml:space="preserve">) contro la Repubblica Italiana depositata presso la Corte ai sensi dell'articolo 34 della Convenzione per la tutela dei diritti umani e delle libertà fondamentali ("la Convenzione") da </w:t>
      </w:r>
      <w:r w:rsidRPr="0045760E">
        <w:rPr>
          <w:rFonts w:ascii="Times New Roman" w:eastAsia="Times New Roman" w:hAnsi="Times New Roman" w:cs="Times New Roman"/>
          <w:b/>
          <w:bCs/>
          <w:color w:val="000000"/>
          <w:kern w:val="0"/>
          <w:lang w:eastAsia="it-IT"/>
          <w14:ligatures w14:val="none"/>
        </w:rPr>
        <w:t xml:space="preserve">Audrey Carmen, Manuela </w:t>
      </w:r>
      <w:proofErr w:type="spellStart"/>
      <w:r w:rsidRPr="0045760E">
        <w:rPr>
          <w:rFonts w:ascii="Times New Roman" w:eastAsia="Times New Roman" w:hAnsi="Times New Roman" w:cs="Times New Roman"/>
          <w:b/>
          <w:bCs/>
          <w:color w:val="000000"/>
          <w:kern w:val="0"/>
          <w:lang w:eastAsia="it-IT"/>
          <w14:ligatures w14:val="none"/>
        </w:rPr>
        <w:t>Ubeda</w:t>
      </w:r>
      <w:proofErr w:type="spellEnd"/>
      <w:r w:rsidRPr="0045760E">
        <w:rPr>
          <w:rFonts w:ascii="Times New Roman" w:eastAsia="Times New Roman" w:hAnsi="Times New Roman" w:cs="Times New Roman"/>
          <w:color w:val="000000"/>
          <w:kern w:val="0"/>
          <w:lang w:eastAsia="it-IT"/>
          <w14:ligatures w14:val="none"/>
        </w:rPr>
        <w:t xml:space="preserve"> ("la prima ricorrente"), </w:t>
      </w:r>
      <w:r w:rsidRPr="0045760E">
        <w:rPr>
          <w:rFonts w:ascii="Times New Roman" w:eastAsia="Times New Roman" w:hAnsi="Times New Roman" w:cs="Times New Roman"/>
          <w:b/>
          <w:bCs/>
          <w:color w:val="000000"/>
          <w:kern w:val="0"/>
          <w:lang w:eastAsia="it-IT"/>
          <w14:ligatures w14:val="none"/>
        </w:rPr>
        <w:t>A.P</w:t>
      </w:r>
      <w:r w:rsidRPr="0045760E">
        <w:rPr>
          <w:rFonts w:ascii="Times New Roman" w:eastAsia="Times New Roman" w:hAnsi="Times New Roman" w:cs="Times New Roman"/>
          <w:color w:val="000000"/>
          <w:kern w:val="0"/>
          <w:lang w:eastAsia="it-IT"/>
          <w14:ligatures w14:val="none"/>
        </w:rPr>
        <w:t xml:space="preserve">. ("la seconda richiedente") e </w:t>
      </w:r>
      <w:r w:rsidR="00BF0D69" w:rsidRPr="00BF0D69">
        <w:rPr>
          <w:rFonts w:ascii="Times New Roman" w:eastAsia="Times New Roman" w:hAnsi="Times New Roman" w:cs="Times New Roman"/>
          <w:b/>
          <w:bCs/>
          <w:color w:val="000000"/>
          <w:kern w:val="0"/>
          <w:lang w:eastAsia="it-IT"/>
          <w14:ligatures w14:val="none"/>
        </w:rPr>
        <w:t>M.P.</w:t>
      </w:r>
      <w:r w:rsidR="00BF0D69">
        <w:rPr>
          <w:rFonts w:ascii="Times New Roman" w:eastAsia="Times New Roman" w:hAnsi="Times New Roman" w:cs="Times New Roman"/>
          <w:color w:val="000000"/>
          <w:kern w:val="0"/>
          <w:lang w:eastAsia="it-IT"/>
          <w14:ligatures w14:val="none"/>
        </w:rPr>
        <w:t xml:space="preserve"> </w:t>
      </w:r>
      <w:r w:rsidRPr="0045760E">
        <w:rPr>
          <w:rFonts w:ascii="Times New Roman" w:eastAsia="Times New Roman" w:hAnsi="Times New Roman" w:cs="Times New Roman"/>
          <w:color w:val="000000"/>
          <w:kern w:val="0"/>
          <w:lang w:eastAsia="it-IT"/>
          <w14:ligatures w14:val="none"/>
        </w:rPr>
        <w:t>("la terza richiedente") il 5 aprile 2024;</w:t>
      </w:r>
    </w:p>
    <w:p w14:paraId="05089077"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la decisione di notificare la richiesta al Governo italiano ("il Governo");</w:t>
      </w:r>
    </w:p>
    <w:p w14:paraId="349ACD3E"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la decisione di dare priorità alla domanda (Regola 41 del Regolamento di Tribunale);</w:t>
      </w:r>
    </w:p>
    <w:p w14:paraId="31C09D37"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la decisione di non divulgare l'identità del secondo e terzo richiedente;</w:t>
      </w:r>
    </w:p>
    <w:p w14:paraId="455C0AB7"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la decisione del Governo francese di non esercitare il proprio diritto di intervenire nel procedimento (articolo 36 § 1 della Convenzione);</w:t>
      </w:r>
    </w:p>
    <w:p w14:paraId="7713F01C"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le osservazioni delle parti;</w:t>
      </w:r>
    </w:p>
    <w:p w14:paraId="52EF5603"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Dopo aver deliberato in privato il 16 giugno 2026,</w:t>
      </w:r>
    </w:p>
    <w:p w14:paraId="42C38409"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color w:val="000000"/>
          <w:kern w:val="0"/>
          <w:lang w:eastAsia="it-IT"/>
          <w14:ligatures w14:val="none"/>
        </w:rPr>
        <w:t>Emette la seguente sentenza, adottata in quella data:</w:t>
      </w:r>
    </w:p>
    <w:p w14:paraId="61AD2A07" w14:textId="77777777" w:rsidR="0045760E" w:rsidRPr="004F76E5" w:rsidRDefault="0045760E" w:rsidP="0045760E">
      <w:pPr>
        <w:shd w:val="clear" w:color="auto" w:fill="FFFFFF"/>
        <w:spacing w:before="280" w:after="240" w:line="240" w:lineRule="auto"/>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INTRODUZIONE</w:t>
      </w:r>
    </w:p>
    <w:p w14:paraId="4B3249CD" w14:textId="279E9265" w:rsidR="0045760E" w:rsidRPr="004F76E5" w:rsidRDefault="0045760E" w:rsidP="003A24D7">
      <w:pPr>
        <w:pStyle w:val="Paragrafoelenco"/>
        <w:numPr>
          <w:ilvl w:val="0"/>
          <w:numId w:val="4"/>
        </w:numPr>
        <w:shd w:val="clear" w:color="auto" w:fill="FFFFFF"/>
        <w:spacing w:after="0" w:line="240" w:lineRule="auto"/>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Il caso riguarda la presunta mancata indagine delle autorità italiane sulle denunce di violenza domestica e sessuale del primo richiedente, nonché i ritardi nel procedimento penale e le conseguenze per i richiedenti. Riguarda anche la presunta inattività del Tribunale Minorile nei procedimenti per la custodia dei minori. Solleva questioni ai sensi degli articoli 3 e 8 della Convenzione.</w:t>
      </w:r>
    </w:p>
    <w:p w14:paraId="65EF47B3" w14:textId="77777777" w:rsidR="003A24D7" w:rsidRPr="004F76E5" w:rsidRDefault="003A24D7" w:rsidP="003A24D7">
      <w:pPr>
        <w:pStyle w:val="Paragrafoelenco"/>
        <w:shd w:val="clear" w:color="auto" w:fill="FFFFFF"/>
        <w:spacing w:after="0" w:line="240" w:lineRule="auto"/>
        <w:ind w:left="644"/>
        <w:jc w:val="both"/>
        <w:rPr>
          <w:rFonts w:ascii="Times New Roman" w:eastAsia="Times New Roman" w:hAnsi="Times New Roman" w:cs="Times New Roman"/>
          <w:color w:val="000000"/>
          <w:kern w:val="0"/>
          <w:lang w:eastAsia="it-IT"/>
          <w14:ligatures w14:val="none"/>
        </w:rPr>
      </w:pPr>
    </w:p>
    <w:p w14:paraId="63460F98" w14:textId="77777777" w:rsidR="0045760E" w:rsidRPr="004F76E5" w:rsidRDefault="0045760E" w:rsidP="0045760E">
      <w:pPr>
        <w:numPr>
          <w:ilvl w:val="0"/>
          <w:numId w:val="1"/>
        </w:numPr>
        <w:shd w:val="clear" w:color="auto" w:fill="FFFFFF"/>
        <w:spacing w:before="280" w:after="240" w:line="240" w:lineRule="auto"/>
        <w:jc w:val="both"/>
        <w:rPr>
          <w:rFonts w:ascii="Times New Roman" w:eastAsia="Times New Roman" w:hAnsi="Times New Roman" w:cs="Times New Roman"/>
          <w:b/>
          <w:bCs/>
          <w:cap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I FATTI</w:t>
      </w:r>
    </w:p>
    <w:p w14:paraId="11D1170F"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2.</w:t>
      </w:r>
      <w:r w:rsidRPr="004F76E5">
        <w:rPr>
          <w:rFonts w:ascii="Times New Roman" w:eastAsia="Times New Roman" w:hAnsi="Times New Roman" w:cs="Times New Roman"/>
          <w:color w:val="000000"/>
          <w:kern w:val="0"/>
          <w:lang w:eastAsia="it-IT"/>
          <w14:ligatures w14:val="none"/>
        </w:rPr>
        <w:t xml:space="preserve"> La prima richiedente, la signora Audrey Carmen Manuela </w:t>
      </w:r>
      <w:proofErr w:type="spellStart"/>
      <w:r w:rsidRPr="004F76E5">
        <w:rPr>
          <w:rFonts w:ascii="Times New Roman" w:eastAsia="Times New Roman" w:hAnsi="Times New Roman" w:cs="Times New Roman"/>
          <w:color w:val="000000"/>
          <w:kern w:val="0"/>
          <w:lang w:eastAsia="it-IT"/>
          <w14:ligatures w14:val="none"/>
        </w:rPr>
        <w:t>Ubeda</w:t>
      </w:r>
      <w:proofErr w:type="spellEnd"/>
      <w:r w:rsidRPr="004F76E5">
        <w:rPr>
          <w:rFonts w:ascii="Times New Roman" w:eastAsia="Times New Roman" w:hAnsi="Times New Roman" w:cs="Times New Roman"/>
          <w:color w:val="000000"/>
          <w:kern w:val="0"/>
          <w:lang w:eastAsia="it-IT"/>
          <w14:ligatures w14:val="none"/>
        </w:rPr>
        <w:t>, è cittadina francese nata nel 1983. La seconda</w:t>
      </w:r>
      <w:r w:rsidRPr="0045760E">
        <w:rPr>
          <w:rFonts w:ascii="Times New Roman" w:eastAsia="Times New Roman" w:hAnsi="Times New Roman" w:cs="Times New Roman"/>
          <w:color w:val="000000"/>
          <w:kern w:val="0"/>
          <w:lang w:eastAsia="it-IT"/>
          <w14:ligatures w14:val="none"/>
        </w:rPr>
        <w:t xml:space="preserve"> candidata, A.P., e la terza candidata, M.P., sono suoi figli minorenni, entrambi di cittadinanza francese e nati rispettivamente nel 2011 e nel 2014. I candidati vivono in Italia. La prima ricorrente agiva anche per conto dei suoi figli. Erano rappresentati dal signor G. </w:t>
      </w:r>
      <w:proofErr w:type="spellStart"/>
      <w:r w:rsidRPr="0045760E">
        <w:rPr>
          <w:rFonts w:ascii="Times New Roman" w:eastAsia="Times New Roman" w:hAnsi="Times New Roman" w:cs="Times New Roman"/>
          <w:color w:val="000000"/>
          <w:kern w:val="0"/>
          <w:lang w:eastAsia="it-IT"/>
          <w14:ligatures w14:val="none"/>
        </w:rPr>
        <w:t>Thuan</w:t>
      </w:r>
      <w:proofErr w:type="spellEnd"/>
      <w:r w:rsidRPr="0045760E">
        <w:rPr>
          <w:rFonts w:ascii="Times New Roman" w:eastAsia="Times New Roman" w:hAnsi="Times New Roman" w:cs="Times New Roman"/>
          <w:color w:val="000000"/>
          <w:kern w:val="0"/>
          <w:lang w:eastAsia="it-IT"/>
          <w14:ligatures w14:val="none"/>
        </w:rPr>
        <w:t xml:space="preserve"> </w:t>
      </w:r>
      <w:proofErr w:type="spellStart"/>
      <w:r w:rsidRPr="0045760E">
        <w:rPr>
          <w:rFonts w:ascii="Times New Roman" w:eastAsia="Times New Roman" w:hAnsi="Times New Roman" w:cs="Times New Roman"/>
          <w:color w:val="000000"/>
          <w:kern w:val="0"/>
          <w:lang w:eastAsia="it-IT"/>
          <w14:ligatures w14:val="none"/>
        </w:rPr>
        <w:t>Dit</w:t>
      </w:r>
      <w:proofErr w:type="spellEnd"/>
      <w:r w:rsidRPr="0045760E">
        <w:rPr>
          <w:rFonts w:ascii="Times New Roman" w:eastAsia="Times New Roman" w:hAnsi="Times New Roman" w:cs="Times New Roman"/>
          <w:color w:val="000000"/>
          <w:kern w:val="0"/>
          <w:lang w:eastAsia="it-IT"/>
          <w14:ligatures w14:val="none"/>
        </w:rPr>
        <w:t xml:space="preserve"> Dieudonné, un avvocato che esercitava a Strasburgo.</w:t>
      </w:r>
    </w:p>
    <w:p w14:paraId="1D6E4FF3"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3</w:t>
      </w:r>
      <w:r w:rsidRPr="0045760E">
        <w:rPr>
          <w:rFonts w:ascii="Times New Roman" w:eastAsia="Times New Roman" w:hAnsi="Times New Roman" w:cs="Times New Roman"/>
          <w:color w:val="000000"/>
          <w:kern w:val="0"/>
          <w:lang w:eastAsia="it-IT"/>
          <w14:ligatures w14:val="none"/>
        </w:rPr>
        <w:t>. Il Governo era rappresentato dal loro Agente, il signor L. D'Ascia, </w:t>
      </w:r>
      <w:r w:rsidRPr="0045760E">
        <w:rPr>
          <w:rFonts w:ascii="Times New Roman" w:eastAsia="Times New Roman" w:hAnsi="Times New Roman" w:cs="Times New Roman"/>
          <w:i/>
          <w:iCs/>
          <w:color w:val="000000"/>
          <w:kern w:val="0"/>
          <w:lang w:eastAsia="it-IT"/>
          <w14:ligatures w14:val="none"/>
        </w:rPr>
        <w:t>Avvocato dello Stato</w:t>
      </w:r>
      <w:r w:rsidRPr="0045760E">
        <w:rPr>
          <w:rFonts w:ascii="Times New Roman" w:eastAsia="Times New Roman" w:hAnsi="Times New Roman" w:cs="Times New Roman"/>
          <w:color w:val="000000"/>
          <w:kern w:val="0"/>
          <w:lang w:eastAsia="it-IT"/>
          <w14:ligatures w14:val="none"/>
        </w:rPr>
        <w:t>.</w:t>
      </w:r>
    </w:p>
    <w:p w14:paraId="2BFDEB47" w14:textId="77777777" w:rsidR="0045760E" w:rsidRPr="0045760E"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5760E">
        <w:rPr>
          <w:rFonts w:ascii="Times New Roman" w:eastAsia="Times New Roman" w:hAnsi="Times New Roman" w:cs="Times New Roman"/>
          <w:b/>
          <w:bCs/>
          <w:color w:val="000000"/>
          <w:kern w:val="0"/>
          <w:lang w:eastAsia="it-IT"/>
          <w14:ligatures w14:val="none"/>
        </w:rPr>
        <w:t>4.</w:t>
      </w:r>
      <w:r w:rsidRPr="0045760E">
        <w:rPr>
          <w:rFonts w:ascii="Times New Roman" w:eastAsia="Times New Roman" w:hAnsi="Times New Roman" w:cs="Times New Roman"/>
          <w:color w:val="000000"/>
          <w:kern w:val="0"/>
          <w:lang w:eastAsia="it-IT"/>
          <w14:ligatures w14:val="none"/>
        </w:rPr>
        <w:t> I fatti del caso possono essere riassunti come segue.</w:t>
      </w:r>
    </w:p>
    <w:p w14:paraId="615A3208" w14:textId="77777777" w:rsidR="003A24D7" w:rsidRDefault="003A24D7" w:rsidP="0045760E">
      <w:pPr>
        <w:shd w:val="clear" w:color="auto" w:fill="FFFFFF"/>
        <w:spacing w:before="280" w:after="240" w:line="240" w:lineRule="auto"/>
        <w:ind w:left="369" w:hanging="369"/>
        <w:jc w:val="both"/>
        <w:rPr>
          <w:rFonts w:ascii="Times New Roman" w:eastAsia="Times New Roman" w:hAnsi="Times New Roman" w:cs="Times New Roman"/>
          <w:b/>
          <w:bCs/>
          <w:caps/>
          <w:color w:val="000000"/>
          <w:kern w:val="0"/>
          <w:lang w:eastAsia="it-IT"/>
          <w14:ligatures w14:val="none"/>
        </w:rPr>
      </w:pPr>
    </w:p>
    <w:p w14:paraId="4737E001" w14:textId="03940A42" w:rsidR="0045760E" w:rsidRPr="004F76E5" w:rsidRDefault="0045760E" w:rsidP="0045760E">
      <w:pPr>
        <w:shd w:val="clear" w:color="auto" w:fill="FFFFFF"/>
        <w:spacing w:before="280" w:after="240" w:line="240" w:lineRule="auto"/>
        <w:ind w:left="369" w:hanging="369"/>
        <w:jc w:val="both"/>
        <w:rPr>
          <w:rFonts w:ascii="Times New Roman" w:eastAsia="Times New Roman" w:hAnsi="Times New Roman" w:cs="Times New Roman"/>
          <w:b/>
          <w:bCs/>
          <w:color w:val="000000"/>
          <w:kern w:val="0"/>
          <w:lang w:eastAsia="it-IT"/>
          <w14:ligatures w14:val="none"/>
        </w:rPr>
      </w:pPr>
      <w:r w:rsidRPr="0045760E">
        <w:rPr>
          <w:rFonts w:ascii="Times New Roman" w:eastAsia="Times New Roman" w:hAnsi="Times New Roman" w:cs="Times New Roman"/>
          <w:b/>
          <w:bCs/>
          <w:caps/>
          <w:color w:val="000000"/>
          <w:kern w:val="0"/>
          <w:lang w:eastAsia="it-IT"/>
          <w14:ligatures w14:val="none"/>
        </w:rPr>
        <w:t>I.</w:t>
      </w:r>
      <w:r w:rsidRPr="0045760E">
        <w:rPr>
          <w:rFonts w:ascii="Times New Roman" w:eastAsia="Times New Roman" w:hAnsi="Times New Roman" w:cs="Times New Roman"/>
          <w:b/>
          <w:bCs/>
          <w:color w:val="000000"/>
          <w:kern w:val="0"/>
          <w:lang w:eastAsia="it-IT"/>
          <w14:ligatures w14:val="none"/>
        </w:rPr>
        <w:t> </w:t>
      </w:r>
      <w:r w:rsidRPr="0045760E">
        <w:rPr>
          <w:rFonts w:ascii="Times New Roman" w:eastAsia="Times New Roman" w:hAnsi="Times New Roman" w:cs="Times New Roman"/>
          <w:b/>
          <w:bCs/>
          <w:caps/>
          <w:color w:val="000000"/>
          <w:kern w:val="0"/>
          <w:lang w:eastAsia="it-IT"/>
          <w14:ligatures w14:val="none"/>
        </w:rPr>
        <w:t xml:space="preserve">LA </w:t>
      </w:r>
      <w:r w:rsidRPr="004F76E5">
        <w:rPr>
          <w:rFonts w:ascii="Times New Roman" w:eastAsia="Times New Roman" w:hAnsi="Times New Roman" w:cs="Times New Roman"/>
          <w:b/>
          <w:bCs/>
          <w:caps/>
          <w:color w:val="000000"/>
          <w:kern w:val="0"/>
          <w:lang w:eastAsia="it-IT"/>
          <w14:ligatures w14:val="none"/>
        </w:rPr>
        <w:t>PRESUNTA VIOLENZA DOMESTICA</w:t>
      </w:r>
      <w:r w:rsidRPr="004F76E5">
        <w:rPr>
          <w:rFonts w:ascii="Times New Roman" w:eastAsia="Times New Roman" w:hAnsi="Times New Roman" w:cs="Times New Roman"/>
          <w:b/>
          <w:bCs/>
          <w:color w:val="000000"/>
          <w:kern w:val="0"/>
          <w:lang w:eastAsia="it-IT"/>
          <w14:ligatures w14:val="none"/>
        </w:rPr>
        <w:t>       </w:t>
      </w:r>
    </w:p>
    <w:p w14:paraId="45995EB4"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0" w:name="paragraph00005"/>
      <w:r w:rsidRPr="004F76E5">
        <w:rPr>
          <w:rFonts w:ascii="Times New Roman" w:eastAsia="Times New Roman" w:hAnsi="Times New Roman" w:cs="Times New Roman"/>
          <w:b/>
          <w:bCs/>
          <w:color w:val="000000"/>
          <w:kern w:val="0"/>
          <w:lang w:eastAsia="it-IT"/>
          <w14:ligatures w14:val="none"/>
        </w:rPr>
        <w:t>5</w:t>
      </w:r>
      <w:bookmarkEnd w:id="0"/>
      <w:r w:rsidRPr="004F76E5">
        <w:rPr>
          <w:rFonts w:ascii="Times New Roman" w:eastAsia="Times New Roman" w:hAnsi="Times New Roman" w:cs="Times New Roman"/>
          <w:color w:val="000000"/>
          <w:kern w:val="0"/>
          <w:lang w:eastAsia="it-IT"/>
          <w14:ligatures w14:val="none"/>
        </w:rPr>
        <w:t>. Il 16 aprile 2021 la prima ricorrente ha presentato denuncia alla polizia contro il padre dei suoi figli e ex convivente, G.P., sostenendo che durante la loro relazione, e più precisamente negli anni tra il 2018 e il 2020, lui avesse commesso violenze fisiche e psicologiche contro di lei e dei loro figli. Il primo ricorrente ha anche sostenuto di averla sottoposta a violenza sessuale aggravata, oltre che a un clima di terrore e violenza economica.</w:t>
      </w:r>
    </w:p>
    <w:p w14:paraId="27D2FF27" w14:textId="75645A1B"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1" w:name="paragraph00006"/>
      <w:r w:rsidRPr="004F76E5">
        <w:rPr>
          <w:rFonts w:ascii="Times New Roman" w:eastAsia="Times New Roman" w:hAnsi="Times New Roman" w:cs="Times New Roman"/>
          <w:b/>
          <w:bCs/>
          <w:color w:val="000000"/>
          <w:kern w:val="0"/>
          <w:lang w:eastAsia="it-IT"/>
          <w14:ligatures w14:val="none"/>
        </w:rPr>
        <w:t>6</w:t>
      </w:r>
      <w:bookmarkEnd w:id="1"/>
      <w:r w:rsidRPr="004F76E5">
        <w:rPr>
          <w:rFonts w:ascii="Times New Roman" w:eastAsia="Times New Roman" w:hAnsi="Times New Roman" w:cs="Times New Roman"/>
          <w:color w:val="000000"/>
          <w:kern w:val="0"/>
          <w:lang w:eastAsia="it-IT"/>
          <w14:ligatures w14:val="none"/>
        </w:rPr>
        <w:t xml:space="preserve">. Secondo il reclamo della prima richiedente, lei e G.P. avevano iniziato a convivere in Francia e si erano poi trasferite in Italia nel luglio 2011, dopo la nascita della seconda richiedente. Ha dichiarato </w:t>
      </w:r>
      <w:r w:rsidRPr="004F76E5">
        <w:rPr>
          <w:rFonts w:ascii="Times New Roman" w:eastAsia="Times New Roman" w:hAnsi="Times New Roman" w:cs="Times New Roman"/>
          <w:color w:val="000000"/>
          <w:kern w:val="0"/>
          <w:lang w:eastAsia="it-IT"/>
          <w14:ligatures w14:val="none"/>
        </w:rPr>
        <w:lastRenderedPageBreak/>
        <w:t>che durante la convivenza e dopo la nascita del secondo figlio, G.P. aveva sottoposto i bambini a numerosi episodi di violenza psicologica e fisica grave (percosse con cintura e schiaffi dal 2018 al 2020) e le aveva fatto minacce di morte. Il 19 ottobre 2019, durante la celebrazione del compleanno della terza richiedente, egli aveva messo un coltello sotto la gola della prima richiedente davanti a due testimoni – sua madre e suo cugino – dicendo che prima o poi sarebbe apparso in televisione, con riferimento implicito a notizie e notizie riguardanti casi di femicidio. Inoltre, l'aveva sottoposta a violenza psicologica, insulti ripetuti e commenti umilianti e degradanti, creando al contempo un clima di terrore e violenza economica (nessun contributo alle spese domestiche). La prima ricorrente si è anche lamentata di averla sottoposta a violenza sessuale aggravata (stupri multipli sotto coercizione, da marzo a settembre 2020, nel letto coniugale dove anche la terza richiedente dormiva). Ha descritto episodi specifici di presunta violenza sessuale, specificando di aver dormito con la terza richiedente al suo fianco e che GP, dopo essersi sdraiato, le aveva in più occasioni abbassato le mutandine e il pigiama e l'aveva violentata. Ha anche dichiarato che in un'occasione nell'aprile 2016, mentre i bambini erano a scuola, che GP l'aveva costretta ad avere rapporti anali e che spesso si era masturbato guardando la prima candidata pulire la casa, finché lei non aveva accettato di avere rapporti sessuali.</w:t>
      </w:r>
    </w:p>
    <w:p w14:paraId="1063BB05" w14:textId="77777777" w:rsidR="002860AF" w:rsidRPr="004F76E5" w:rsidRDefault="002860AF" w:rsidP="0045760E">
      <w:pPr>
        <w:shd w:val="clear" w:color="auto" w:fill="FFFFFF"/>
        <w:spacing w:before="280" w:after="240" w:line="240" w:lineRule="auto"/>
        <w:ind w:left="357" w:hanging="357"/>
        <w:jc w:val="both"/>
        <w:rPr>
          <w:rFonts w:ascii="Times New Roman" w:eastAsia="Times New Roman" w:hAnsi="Times New Roman" w:cs="Times New Roman"/>
          <w:b/>
          <w:bCs/>
          <w:caps/>
          <w:color w:val="000000"/>
          <w:kern w:val="0"/>
          <w:lang w:eastAsia="it-IT"/>
          <w14:ligatures w14:val="none"/>
        </w:rPr>
      </w:pPr>
    </w:p>
    <w:p w14:paraId="649333E3" w14:textId="6DB6944A" w:rsidR="0045760E" w:rsidRPr="004F76E5" w:rsidRDefault="0045760E" w:rsidP="0045760E">
      <w:pPr>
        <w:shd w:val="clear" w:color="auto" w:fill="FFFFFF"/>
        <w:spacing w:before="280" w:after="240" w:line="240" w:lineRule="auto"/>
        <w:ind w:left="357" w:hanging="357"/>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II.</w:t>
      </w:r>
      <w:r w:rsidR="002860AF" w:rsidRPr="004F76E5">
        <w:rPr>
          <w:rFonts w:ascii="Times New Roman" w:eastAsia="Times New Roman" w:hAnsi="Times New Roman" w:cs="Times New Roman"/>
          <w:b/>
          <w:bCs/>
          <w:caps/>
          <w:color w:val="000000"/>
          <w:kern w:val="0"/>
          <w:lang w:eastAsia="it-IT"/>
          <w14:ligatures w14:val="none"/>
        </w:rPr>
        <w:t xml:space="preserve"> </w:t>
      </w:r>
      <w:r w:rsidRPr="004F76E5">
        <w:rPr>
          <w:rFonts w:ascii="Times New Roman" w:eastAsia="Times New Roman" w:hAnsi="Times New Roman" w:cs="Times New Roman"/>
          <w:b/>
          <w:bCs/>
          <w:caps/>
          <w:color w:val="000000"/>
          <w:kern w:val="0"/>
          <w:lang w:eastAsia="it-IT"/>
          <w14:ligatures w14:val="none"/>
        </w:rPr>
        <w:t>INDAGINI E PROCEDIMENTI PENALI</w:t>
      </w:r>
      <w:r w:rsidRPr="004F76E5">
        <w:rPr>
          <w:rFonts w:ascii="Times New Roman" w:eastAsia="Times New Roman" w:hAnsi="Times New Roman" w:cs="Times New Roman"/>
          <w:b/>
          <w:bCs/>
          <w:color w:val="000000"/>
          <w:kern w:val="0"/>
          <w:lang w:eastAsia="it-IT"/>
          <w14:ligatures w14:val="none"/>
        </w:rPr>
        <w:t>    </w:t>
      </w:r>
    </w:p>
    <w:p w14:paraId="7E3A788F"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2" w:name="paragraph00007"/>
      <w:r w:rsidRPr="004F76E5">
        <w:rPr>
          <w:rFonts w:ascii="Times New Roman" w:eastAsia="Times New Roman" w:hAnsi="Times New Roman" w:cs="Times New Roman"/>
          <w:b/>
          <w:bCs/>
          <w:color w:val="000000"/>
          <w:kern w:val="0"/>
          <w:lang w:eastAsia="it-IT"/>
          <w14:ligatures w14:val="none"/>
        </w:rPr>
        <w:t>7</w:t>
      </w:r>
      <w:bookmarkEnd w:id="2"/>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Il 22 aprile 2021 la polizia di Napoli ha rinviato il caso alla Procura presso il Tribunale Distrettuale di Benevento.</w:t>
      </w:r>
    </w:p>
    <w:p w14:paraId="242FF1C6"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3" w:name="paragraph00008"/>
      <w:r w:rsidRPr="004F76E5">
        <w:rPr>
          <w:rFonts w:ascii="Times New Roman" w:eastAsia="Times New Roman" w:hAnsi="Times New Roman" w:cs="Times New Roman"/>
          <w:b/>
          <w:bCs/>
          <w:color w:val="000000"/>
          <w:kern w:val="0"/>
          <w:lang w:eastAsia="it-IT"/>
          <w14:ligatures w14:val="none"/>
        </w:rPr>
        <w:t>8</w:t>
      </w:r>
      <w:bookmarkEnd w:id="3"/>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xml:space="preserve"> Il 23 aprile 2021 il pubblico ministero ha aperto un procedimento contro G.P., chiedendo che il primo richiedente fosse intervistato, che venissero ottenuti documenti e che i testimoni indicati fossero intervistati. Seguì un'indagine della polizia, durante la quale il primo richiedente fu intervistato dalla polizia alla presenza di uno psicologo; sono stati raccolti </w:t>
      </w:r>
      <w:proofErr w:type="spellStart"/>
      <w:r w:rsidRPr="004F76E5">
        <w:rPr>
          <w:rFonts w:ascii="Times New Roman" w:eastAsia="Times New Roman" w:hAnsi="Times New Roman" w:cs="Times New Roman"/>
          <w:color w:val="000000"/>
          <w:kern w:val="0"/>
          <w:lang w:eastAsia="it-IT"/>
          <w14:ligatures w14:val="none"/>
        </w:rPr>
        <w:t>screenshot</w:t>
      </w:r>
      <w:proofErr w:type="spellEnd"/>
      <w:r w:rsidRPr="004F76E5">
        <w:rPr>
          <w:rFonts w:ascii="Times New Roman" w:eastAsia="Times New Roman" w:hAnsi="Times New Roman" w:cs="Times New Roman"/>
          <w:color w:val="000000"/>
          <w:kern w:val="0"/>
          <w:lang w:eastAsia="it-IT"/>
          <w14:ligatures w14:val="none"/>
        </w:rPr>
        <w:t xml:space="preserve"> dei messaggi; i bambini furono intervistati; e due testimoni sono stati intervistati (la madre e il cugino del primo richiedente).</w:t>
      </w:r>
    </w:p>
    <w:p w14:paraId="5E5AFB17"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 w:name="paragraph00009"/>
      <w:r w:rsidRPr="004F76E5">
        <w:rPr>
          <w:rFonts w:ascii="Times New Roman" w:eastAsia="Times New Roman" w:hAnsi="Times New Roman" w:cs="Times New Roman"/>
          <w:b/>
          <w:bCs/>
          <w:color w:val="000000"/>
          <w:kern w:val="0"/>
          <w:lang w:eastAsia="it-IT"/>
          <w14:ligatures w14:val="none"/>
        </w:rPr>
        <w:t>9</w:t>
      </w:r>
      <w:bookmarkEnd w:id="4"/>
      <w:r w:rsidRPr="004F76E5">
        <w:rPr>
          <w:rFonts w:ascii="Times New Roman" w:eastAsia="Times New Roman" w:hAnsi="Times New Roman" w:cs="Times New Roman"/>
          <w:color w:val="000000"/>
          <w:kern w:val="0"/>
          <w:lang w:eastAsia="it-IT"/>
          <w14:ligatures w14:val="none"/>
        </w:rPr>
        <w:t>. Il 24 maggio 2021, su richiesta della prima richiedente, lei e i suoi figli sono stati collocati in un rifugio dedicato e protetto.</w:t>
      </w:r>
    </w:p>
    <w:p w14:paraId="635F8A1A" w14:textId="2EBA7029"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5" w:name="paragraph00010"/>
      <w:r w:rsidRPr="004F76E5">
        <w:rPr>
          <w:rFonts w:ascii="Times New Roman" w:eastAsia="Times New Roman" w:hAnsi="Times New Roman" w:cs="Times New Roman"/>
          <w:b/>
          <w:bCs/>
          <w:color w:val="000000"/>
          <w:kern w:val="0"/>
          <w:lang w:eastAsia="it-IT"/>
          <w14:ligatures w14:val="none"/>
        </w:rPr>
        <w:t>10</w:t>
      </w:r>
      <w:bookmarkEnd w:id="5"/>
      <w:r w:rsidRPr="004F76E5">
        <w:rPr>
          <w:rFonts w:ascii="Times New Roman" w:eastAsia="Times New Roman" w:hAnsi="Times New Roman" w:cs="Times New Roman"/>
          <w:color w:val="000000"/>
          <w:kern w:val="0"/>
          <w:lang w:eastAsia="it-IT"/>
          <w14:ligatures w14:val="none"/>
        </w:rPr>
        <w:t>. Il 5 novembre 2021 il pubblico ministero responsabile del caso ha presentato una richiesta di cessare il procedimento, sostenendo, </w:t>
      </w:r>
      <w:r w:rsidRPr="004F76E5">
        <w:rPr>
          <w:rFonts w:ascii="Times New Roman" w:eastAsia="Times New Roman" w:hAnsi="Times New Roman" w:cs="Times New Roman"/>
          <w:i/>
          <w:iCs/>
          <w:color w:val="000000"/>
          <w:kern w:val="0"/>
          <w:lang w:eastAsia="it-IT"/>
          <w14:ligatures w14:val="none"/>
        </w:rPr>
        <w:t>tra l'altro</w:t>
      </w:r>
      <w:r w:rsidRPr="004F76E5">
        <w:rPr>
          <w:rFonts w:ascii="Times New Roman" w:eastAsia="Times New Roman" w:hAnsi="Times New Roman" w:cs="Times New Roman"/>
          <w:color w:val="000000"/>
          <w:kern w:val="0"/>
          <w:lang w:eastAsia="it-IT"/>
          <w14:ligatures w14:val="none"/>
        </w:rPr>
        <w:t>, che il coltello posto sotto la gola del richiedente era chiaramente un "brutto scherzo ", che i colpi inflitti ai bambini erano semplicemente misure disciplinari che non avevano violato il diritto del padre di esercitare l'autorità genitoriale e che la presunta violenza sessuale non era stata provata, poiché era difficile dimostrare che il marito fosse consapevole della mancanza di consenso della moglie, considerando che "[</w:t>
      </w:r>
      <w:r w:rsidRPr="004F76E5">
        <w:rPr>
          <w:rFonts w:ascii="Times New Roman" w:eastAsia="Times New Roman" w:hAnsi="Times New Roman" w:cs="Times New Roman"/>
          <w:i/>
          <w:iCs/>
          <w:color w:val="000000"/>
          <w:kern w:val="0"/>
          <w:lang w:eastAsia="it-IT"/>
          <w14:ligatures w14:val="none"/>
        </w:rPr>
        <w:t>era] normale che gli uomini dovessero superare un livello minimo di resistenza che ogni donna tendeva a mostrare quando era stanca della vita quotidiana e un uomo [faceva] un'avance sessuale</w:t>
      </w:r>
      <w:r w:rsidRPr="004F76E5">
        <w:rPr>
          <w:rFonts w:ascii="Times New Roman" w:eastAsia="Times New Roman" w:hAnsi="Times New Roman" w:cs="Times New Roman"/>
          <w:color w:val="000000"/>
          <w:kern w:val="0"/>
          <w:lang w:eastAsia="it-IT"/>
          <w14:ligatures w14:val="none"/>
        </w:rPr>
        <w:t>."</w:t>
      </w:r>
    </w:p>
    <w:p w14:paraId="63420519" w14:textId="61CD8FFD"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6" w:name="paragraph00011"/>
      <w:r w:rsidRPr="004F76E5">
        <w:rPr>
          <w:rFonts w:ascii="Times New Roman" w:eastAsia="Times New Roman" w:hAnsi="Times New Roman" w:cs="Times New Roman"/>
          <w:b/>
          <w:bCs/>
          <w:color w:val="000000"/>
          <w:kern w:val="0"/>
          <w:lang w:eastAsia="it-IT"/>
          <w14:ligatures w14:val="none"/>
        </w:rPr>
        <w:t>11</w:t>
      </w:r>
      <w:bookmarkEnd w:id="6"/>
      <w:r w:rsidRPr="004F76E5">
        <w:rPr>
          <w:rFonts w:ascii="Times New Roman" w:eastAsia="Times New Roman" w:hAnsi="Times New Roman" w:cs="Times New Roman"/>
          <w:color w:val="000000"/>
          <w:kern w:val="0"/>
          <w:lang w:eastAsia="it-IT"/>
          <w14:ligatures w14:val="none"/>
        </w:rPr>
        <w:t>. Il 4 dicembre 2021 il primo richiedente ha presentato opposizione alla richiesta di sospendere il procedimento davanti a un giudice delle indagini preliminari del Tribunale Distrettuale di Benevento, richiesta che è stata confermata il 18 gennaio 2022. Il Tribunale Distrettuale di Benevento ha fissato una prima udienza per il 1° aprile 2022. In quella data, il tribunale ha rinviato il caso di sei mesi, prolungato l'indagine preliminare e nominato un altro pubblico ministero per occuparsi del caso.</w:t>
      </w:r>
    </w:p>
    <w:p w14:paraId="76CA815F"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7" w:name="paragraph00012"/>
      <w:r w:rsidRPr="004F76E5">
        <w:rPr>
          <w:rFonts w:ascii="Times New Roman" w:eastAsia="Times New Roman" w:hAnsi="Times New Roman" w:cs="Times New Roman"/>
          <w:b/>
          <w:bCs/>
          <w:color w:val="000000"/>
          <w:kern w:val="0"/>
          <w:lang w:eastAsia="it-IT"/>
          <w14:ligatures w14:val="none"/>
        </w:rPr>
        <w:t>12</w:t>
      </w:r>
      <w:bookmarkEnd w:id="7"/>
      <w:r w:rsidRPr="004F76E5">
        <w:rPr>
          <w:rFonts w:ascii="Times New Roman" w:eastAsia="Times New Roman" w:hAnsi="Times New Roman" w:cs="Times New Roman"/>
          <w:color w:val="000000"/>
          <w:kern w:val="0"/>
          <w:lang w:eastAsia="it-IT"/>
          <w14:ligatures w14:val="none"/>
        </w:rPr>
        <w:t>. Il 13 luglio 2022 i richiedenti sono stati esaminati davanti al Tribunale Penale di Benevento da uno psicologo e dal pubblico ministero, nell'ambito di una richiesta di raccolta immediata di prove (</w:t>
      </w:r>
      <w:r w:rsidRPr="004F76E5">
        <w:rPr>
          <w:rFonts w:ascii="Times New Roman" w:eastAsia="Times New Roman" w:hAnsi="Times New Roman" w:cs="Times New Roman"/>
          <w:i/>
          <w:iCs/>
          <w:color w:val="000000"/>
          <w:kern w:val="0"/>
          <w:lang w:eastAsia="it-IT"/>
          <w14:ligatures w14:val="none"/>
        </w:rPr>
        <w:t>incidente probatorio</w:t>
      </w:r>
      <w:r w:rsidRPr="004F76E5">
        <w:rPr>
          <w:rFonts w:ascii="Times New Roman" w:eastAsia="Times New Roman" w:hAnsi="Times New Roman" w:cs="Times New Roman"/>
          <w:color w:val="000000"/>
          <w:kern w:val="0"/>
          <w:lang w:eastAsia="it-IT"/>
          <w14:ligatures w14:val="none"/>
        </w:rPr>
        <w:t>).</w:t>
      </w:r>
    </w:p>
    <w:p w14:paraId="51D20BED"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w:t>
      </w:r>
      <w:r w:rsidRPr="004F76E5">
        <w:rPr>
          <w:rFonts w:ascii="Times New Roman" w:eastAsia="Times New Roman" w:hAnsi="Times New Roman" w:cs="Times New Roman"/>
          <w:color w:val="000000"/>
          <w:kern w:val="0"/>
          <w:lang w:eastAsia="it-IT"/>
          <w14:ligatures w14:val="none"/>
        </w:rPr>
        <w:t>. Il 18 novembre 2022 l'Ufficio del Pubblico Ministero del Tribunale Distrettuale di Benevento ha emesso le sue conclusioni investigative.</w:t>
      </w:r>
    </w:p>
    <w:p w14:paraId="02206B07" w14:textId="7E54699B"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8" w:name="paragraph00014"/>
      <w:r w:rsidRPr="004F76E5">
        <w:rPr>
          <w:rFonts w:ascii="Times New Roman" w:eastAsia="Times New Roman" w:hAnsi="Times New Roman" w:cs="Times New Roman"/>
          <w:b/>
          <w:bCs/>
          <w:color w:val="000000"/>
          <w:kern w:val="0"/>
          <w:lang w:eastAsia="it-IT"/>
          <w14:ligatures w14:val="none"/>
        </w:rPr>
        <w:t>14</w:t>
      </w:r>
      <w:bookmarkEnd w:id="8"/>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xml:space="preserve"> Il 6 marzo 2023 il pubblico ministero ha chiesto che il G.P. fosse </w:t>
      </w:r>
      <w:r w:rsidR="00F371A4" w:rsidRPr="004F76E5">
        <w:rPr>
          <w:rFonts w:ascii="Times New Roman" w:eastAsia="Times New Roman" w:hAnsi="Times New Roman" w:cs="Times New Roman"/>
          <w:color w:val="000000"/>
          <w:kern w:val="0"/>
          <w:lang w:eastAsia="it-IT"/>
          <w14:ligatures w14:val="none"/>
        </w:rPr>
        <w:t xml:space="preserve">rinviato </w:t>
      </w:r>
      <w:r w:rsidRPr="004F76E5">
        <w:rPr>
          <w:rFonts w:ascii="Times New Roman" w:eastAsia="Times New Roman" w:hAnsi="Times New Roman" w:cs="Times New Roman"/>
          <w:color w:val="000000"/>
          <w:kern w:val="0"/>
          <w:lang w:eastAsia="it-IT"/>
          <w14:ligatures w14:val="none"/>
        </w:rPr>
        <w:t xml:space="preserve">a </w:t>
      </w:r>
      <w:r w:rsidR="00F371A4" w:rsidRPr="004F76E5">
        <w:rPr>
          <w:rFonts w:ascii="Times New Roman" w:eastAsia="Times New Roman" w:hAnsi="Times New Roman" w:cs="Times New Roman"/>
          <w:color w:val="000000"/>
          <w:kern w:val="0"/>
          <w:lang w:eastAsia="it-IT"/>
          <w14:ligatures w14:val="none"/>
        </w:rPr>
        <w:t>giudizio</w:t>
      </w:r>
      <w:r w:rsidRPr="004F76E5">
        <w:rPr>
          <w:rFonts w:ascii="Times New Roman" w:eastAsia="Times New Roman" w:hAnsi="Times New Roman" w:cs="Times New Roman"/>
          <w:color w:val="000000"/>
          <w:kern w:val="0"/>
          <w:lang w:eastAsia="it-IT"/>
          <w14:ligatures w14:val="none"/>
        </w:rPr>
        <w:t>.</w:t>
      </w:r>
    </w:p>
    <w:p w14:paraId="30B69C8C"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15</w:t>
      </w:r>
      <w:r w:rsidRPr="004F76E5">
        <w:rPr>
          <w:rFonts w:ascii="Times New Roman" w:eastAsia="Times New Roman" w:hAnsi="Times New Roman" w:cs="Times New Roman"/>
          <w:color w:val="000000"/>
          <w:kern w:val="0"/>
          <w:lang w:eastAsia="it-IT"/>
          <w14:ligatures w14:val="none"/>
        </w:rPr>
        <w:t>. Il 30 ottobre 2023 il giudice delle indagini preliminari ha rinviato il caso al 12 febbraio 2024.</w:t>
      </w:r>
    </w:p>
    <w:p w14:paraId="68A078C2"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lastRenderedPageBreak/>
        <w:t>16</w:t>
      </w:r>
      <w:r w:rsidRPr="004F76E5">
        <w:rPr>
          <w:rFonts w:ascii="Times New Roman" w:eastAsia="Times New Roman" w:hAnsi="Times New Roman" w:cs="Times New Roman"/>
          <w:color w:val="000000"/>
          <w:kern w:val="0"/>
          <w:lang w:eastAsia="it-IT"/>
          <w14:ligatures w14:val="none"/>
        </w:rPr>
        <w:t xml:space="preserve">. Il 12 febbraio 2024, durante l'udienza preliminare, il Tribunale Distrettuale di Benevento ha mandato il G.P. a processo e ha fissato la prima udienza per il 17 settembre 2024. L'atto d'accusa è </w:t>
      </w:r>
      <w:proofErr w:type="spellStart"/>
      <w:r w:rsidRPr="004F76E5">
        <w:rPr>
          <w:rFonts w:ascii="Times New Roman" w:eastAsia="Times New Roman" w:hAnsi="Times New Roman" w:cs="Times New Roman"/>
          <w:color w:val="000000"/>
          <w:kern w:val="0"/>
          <w:lang w:eastAsia="it-IT"/>
          <w14:ligatures w14:val="none"/>
        </w:rPr>
        <w:t>stato</w:t>
      </w:r>
      <w:proofErr w:type="spellEnd"/>
      <w:r w:rsidRPr="004F76E5">
        <w:rPr>
          <w:rFonts w:ascii="Times New Roman" w:eastAsia="Times New Roman" w:hAnsi="Times New Roman" w:cs="Times New Roman"/>
          <w:color w:val="000000"/>
          <w:kern w:val="0"/>
          <w:lang w:eastAsia="it-IT"/>
          <w14:ligatures w14:val="none"/>
        </w:rPr>
        <w:t xml:space="preserve"> emessa per aggressione sessuale contro il primo richiedente e maltrattamenti contro tutti e tre i richiedenti.</w:t>
      </w:r>
    </w:p>
    <w:p w14:paraId="6F458968" w14:textId="77777777" w:rsidR="0045760E" w:rsidRPr="004F76E5" w:rsidRDefault="0045760E" w:rsidP="004576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9" w:name="paragraph00017"/>
      <w:r w:rsidRPr="004F76E5">
        <w:rPr>
          <w:rFonts w:ascii="Times New Roman" w:eastAsia="Times New Roman" w:hAnsi="Times New Roman" w:cs="Times New Roman"/>
          <w:b/>
          <w:bCs/>
          <w:color w:val="000000"/>
          <w:kern w:val="0"/>
          <w:lang w:eastAsia="it-IT"/>
          <w14:ligatures w14:val="none"/>
        </w:rPr>
        <w:t>17</w:t>
      </w:r>
      <w:bookmarkEnd w:id="9"/>
      <w:r w:rsidRPr="004F76E5">
        <w:rPr>
          <w:rFonts w:ascii="Times New Roman" w:eastAsia="Times New Roman" w:hAnsi="Times New Roman" w:cs="Times New Roman"/>
          <w:color w:val="000000"/>
          <w:kern w:val="0"/>
          <w:lang w:eastAsia="it-IT"/>
          <w14:ligatures w14:val="none"/>
        </w:rPr>
        <w:t>. Il 17 settembre 2024 il caso è stato nuovamente rinviato al 14 gennaio 2025. Al momento della presentazione delle osservazioni delle parti davanti alla Corte, non si era tenuta alcuna udienza.</w:t>
      </w:r>
    </w:p>
    <w:p w14:paraId="36F3E089" w14:textId="77777777" w:rsidR="002860AF" w:rsidRPr="004F76E5" w:rsidRDefault="002860AF" w:rsidP="0045760E">
      <w:pPr>
        <w:shd w:val="clear" w:color="auto" w:fill="FFFFFF"/>
        <w:spacing w:before="280" w:after="240" w:line="240" w:lineRule="auto"/>
        <w:ind w:left="357" w:hanging="357"/>
        <w:jc w:val="both"/>
        <w:rPr>
          <w:rFonts w:ascii="Times New Roman" w:eastAsia="Times New Roman" w:hAnsi="Times New Roman" w:cs="Times New Roman"/>
          <w:b/>
          <w:bCs/>
          <w:caps/>
          <w:color w:val="000000"/>
          <w:kern w:val="0"/>
          <w:lang w:eastAsia="it-IT"/>
          <w14:ligatures w14:val="none"/>
        </w:rPr>
      </w:pPr>
    </w:p>
    <w:p w14:paraId="59B5604D" w14:textId="53EC9A9A" w:rsidR="0045760E" w:rsidRPr="004F76E5" w:rsidRDefault="0045760E" w:rsidP="0045760E">
      <w:pPr>
        <w:shd w:val="clear" w:color="auto" w:fill="FFFFFF"/>
        <w:spacing w:before="280" w:after="240" w:line="240" w:lineRule="auto"/>
        <w:ind w:left="357" w:hanging="357"/>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III.PROCEDIMENTI CIVILI</w:t>
      </w:r>
      <w:r w:rsidRPr="004F76E5">
        <w:rPr>
          <w:rFonts w:ascii="Times New Roman" w:eastAsia="Times New Roman" w:hAnsi="Times New Roman" w:cs="Times New Roman"/>
          <w:b/>
          <w:bCs/>
          <w:color w:val="000000"/>
          <w:kern w:val="0"/>
          <w:lang w:eastAsia="it-IT"/>
          <w14:ligatures w14:val="none"/>
        </w:rPr>
        <w:t>  </w:t>
      </w:r>
    </w:p>
    <w:p w14:paraId="01A236DE" w14:textId="259DD12E"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10" w:name="paragraph00018"/>
      <w:r w:rsidRPr="004F76E5">
        <w:rPr>
          <w:rStyle w:val="sbb9ee52a"/>
          <w:rFonts w:eastAsiaTheme="majorEastAsia"/>
          <w:b/>
          <w:bCs/>
          <w:color w:val="000000"/>
        </w:rPr>
        <w:t>18</w:t>
      </w:r>
      <w:bookmarkEnd w:id="10"/>
      <w:r w:rsidRPr="004F76E5">
        <w:rPr>
          <w:rStyle w:val="sbb9ee52a"/>
          <w:rFonts w:eastAsiaTheme="majorEastAsia"/>
          <w:color w:val="000000"/>
        </w:rPr>
        <w:t xml:space="preserve">. Il </w:t>
      </w:r>
      <w:r w:rsidRPr="004F76E5">
        <w:rPr>
          <w:rStyle w:val="sbb9ee52a"/>
          <w:rFonts w:eastAsiaTheme="majorEastAsia"/>
          <w:b/>
          <w:bCs/>
          <w:color w:val="000000"/>
        </w:rPr>
        <w:t>6 maggio 2021</w:t>
      </w:r>
      <w:r w:rsidRPr="004F76E5">
        <w:rPr>
          <w:rStyle w:val="sbb9ee52a"/>
          <w:rFonts w:eastAsiaTheme="majorEastAsia"/>
          <w:color w:val="000000"/>
        </w:rPr>
        <w:t xml:space="preserve"> il primo richiedente ha intentato un'azione ai sensi degli articoli 330 e 337 </w:t>
      </w:r>
      <w:r w:rsidRPr="004F76E5">
        <w:rPr>
          <w:rStyle w:val="sa36b60a1"/>
          <w:rFonts w:eastAsiaTheme="majorEastAsia"/>
          <w:i/>
          <w:iCs/>
          <w:color w:val="000000"/>
        </w:rPr>
        <w:t>bis</w:t>
      </w:r>
      <w:r w:rsidRPr="004F76E5">
        <w:rPr>
          <w:rStyle w:val="sbb9ee52a"/>
          <w:rFonts w:eastAsiaTheme="majorEastAsia"/>
          <w:color w:val="000000"/>
        </w:rPr>
        <w:t xml:space="preserve"> del Codice Civile presso il </w:t>
      </w:r>
      <w:r w:rsidRPr="004F76E5">
        <w:rPr>
          <w:rStyle w:val="sbb9ee52a"/>
          <w:rFonts w:eastAsiaTheme="majorEastAsia"/>
          <w:b/>
          <w:bCs/>
          <w:color w:val="000000"/>
        </w:rPr>
        <w:t xml:space="preserve">Tribunale </w:t>
      </w:r>
      <w:r w:rsidR="002860AF" w:rsidRPr="004F76E5">
        <w:rPr>
          <w:rStyle w:val="sbb9ee52a"/>
          <w:rFonts w:eastAsiaTheme="majorEastAsia"/>
          <w:b/>
          <w:bCs/>
          <w:color w:val="000000"/>
        </w:rPr>
        <w:t xml:space="preserve">per i Minori </w:t>
      </w:r>
      <w:r w:rsidRPr="004F76E5">
        <w:rPr>
          <w:rStyle w:val="sbb9ee52a"/>
          <w:rFonts w:eastAsiaTheme="majorEastAsia"/>
          <w:b/>
          <w:bCs/>
          <w:color w:val="000000"/>
        </w:rPr>
        <w:t>di Napoli</w:t>
      </w:r>
      <w:r w:rsidRPr="004F76E5">
        <w:rPr>
          <w:rStyle w:val="sbb9ee52a"/>
          <w:rFonts w:eastAsiaTheme="majorEastAsia"/>
          <w:color w:val="000000"/>
        </w:rPr>
        <w:t xml:space="preserve"> (d'ora in poi "il </w:t>
      </w:r>
      <w:bookmarkStart w:id="11" w:name="_Hlk234131211"/>
      <w:r w:rsidRPr="004F76E5">
        <w:rPr>
          <w:rStyle w:val="sbb9ee52a"/>
          <w:rFonts w:eastAsiaTheme="majorEastAsia"/>
          <w:color w:val="000000"/>
        </w:rPr>
        <w:t xml:space="preserve">Tribunale </w:t>
      </w:r>
      <w:r w:rsidR="002860AF" w:rsidRPr="004F76E5">
        <w:rPr>
          <w:rStyle w:val="sbb9ee52a"/>
          <w:rFonts w:eastAsiaTheme="majorEastAsia"/>
          <w:color w:val="000000"/>
        </w:rPr>
        <w:t>per i Minori</w:t>
      </w:r>
      <w:bookmarkEnd w:id="11"/>
      <w:r w:rsidRPr="004F76E5">
        <w:rPr>
          <w:rStyle w:val="sbb9ee52a"/>
          <w:rFonts w:eastAsiaTheme="majorEastAsia"/>
          <w:color w:val="000000"/>
        </w:rPr>
        <w:t xml:space="preserve">"), chiedendo la custodia esclusiva dei figli; la revoca della responsabilità genitoriale del padre; l'autorizzazione a lasciare l'Italia per la Francia (dove la prima richiedente aveva una casa e una rete familiare in grado di aiutarla) al fine di garantire la piena sicurezza di i tre richiedenti; e il mantenimento per figli per un importo di 800,00 euro (EUR) e il 50% delle spese straordinarie per i figli. La domanda faceva esplicitamente riferimento alle aggressioni e alla condotta violenta da parte di G.P. contro i tre richiedenti. In particolare, si riferiva ai ripetuti attacchi verbali; il clima di paura creato da G.P. attraverso urla continue e il battito dei pugni sul tavolo; un'aggressione al secondo richiedente perché aveva fatto rumore che impediva al </w:t>
      </w:r>
      <w:r w:rsidR="002860AF" w:rsidRPr="004F76E5">
        <w:rPr>
          <w:rStyle w:val="sbb9ee52a"/>
          <w:rFonts w:eastAsiaTheme="majorEastAsia"/>
          <w:color w:val="000000"/>
        </w:rPr>
        <w:t xml:space="preserve">GP </w:t>
      </w:r>
      <w:r w:rsidRPr="004F76E5">
        <w:rPr>
          <w:rStyle w:val="sbb9ee52a"/>
          <w:rFonts w:eastAsiaTheme="majorEastAsia"/>
          <w:color w:val="000000"/>
        </w:rPr>
        <w:t>di guardare la televisione; e la percossa del secondo richiedente con una cintura che aveva lasciato un segno visibile sul braccio del bambino. La prima ricorrente ha inoltre fatto riferimento nella domanda all'episodio in cui G.P. le aveva puntato un coltello alla gola mentre un telegiornale riportava casi di femminicidio, la violenza sessuale subita e i continui abusi verbali a cui era stata sottoposta. A sostegno della domanda, ha presentato un certificato medico che attestava la sua condizione di astenia, oltre alla denuncia penale depositata contro il</w:t>
      </w:r>
      <w:r w:rsidR="002860AF" w:rsidRPr="004F76E5">
        <w:rPr>
          <w:rStyle w:val="sbb9ee52a"/>
          <w:rFonts w:eastAsiaTheme="majorEastAsia"/>
          <w:color w:val="000000"/>
        </w:rPr>
        <w:t xml:space="preserve"> GP</w:t>
      </w:r>
      <w:r w:rsidRPr="004F76E5">
        <w:rPr>
          <w:rStyle w:val="sbb9ee52a"/>
          <w:rFonts w:eastAsiaTheme="majorEastAsia"/>
          <w:color w:val="000000"/>
        </w:rPr>
        <w:t>.</w:t>
      </w:r>
    </w:p>
    <w:p w14:paraId="471F9AEB" w14:textId="587779B7"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12" w:name="paragraph00019"/>
      <w:r w:rsidRPr="004F76E5">
        <w:rPr>
          <w:rStyle w:val="sbb9ee52a"/>
          <w:rFonts w:eastAsiaTheme="majorEastAsia"/>
          <w:b/>
          <w:bCs/>
          <w:color w:val="000000"/>
        </w:rPr>
        <w:t>19</w:t>
      </w:r>
      <w:bookmarkEnd w:id="12"/>
      <w:r w:rsidRPr="004F76E5">
        <w:rPr>
          <w:rStyle w:val="sbb9ee52a"/>
          <w:rFonts w:eastAsiaTheme="majorEastAsia"/>
          <w:color w:val="000000"/>
        </w:rPr>
        <w:t xml:space="preserve">. Il </w:t>
      </w:r>
      <w:r w:rsidRPr="004F76E5">
        <w:rPr>
          <w:rStyle w:val="sbb9ee52a"/>
          <w:rFonts w:eastAsiaTheme="majorEastAsia"/>
          <w:b/>
          <w:bCs/>
          <w:color w:val="000000"/>
        </w:rPr>
        <w:t>16 luglio 2021</w:t>
      </w:r>
      <w:r w:rsidRPr="004F76E5">
        <w:rPr>
          <w:rStyle w:val="sbb9ee52a"/>
          <w:rFonts w:eastAsiaTheme="majorEastAsia"/>
          <w:color w:val="000000"/>
        </w:rPr>
        <w:t xml:space="preserve"> il Tribunale </w:t>
      </w:r>
      <w:bookmarkStart w:id="13" w:name="_Hlk234131239"/>
      <w:r w:rsidR="002860AF" w:rsidRPr="004F76E5">
        <w:rPr>
          <w:rStyle w:val="sbb9ee52a"/>
          <w:rFonts w:eastAsiaTheme="majorEastAsia"/>
          <w:color w:val="000000"/>
        </w:rPr>
        <w:t xml:space="preserve">per i Minori </w:t>
      </w:r>
      <w:bookmarkEnd w:id="13"/>
      <w:r w:rsidRPr="004F76E5">
        <w:rPr>
          <w:rStyle w:val="sbb9ee52a"/>
          <w:rFonts w:eastAsiaTheme="majorEastAsia"/>
          <w:color w:val="000000"/>
        </w:rPr>
        <w:t xml:space="preserve">ha nominato un tutore per il secondo e il terzo richiedente, ha fissato l'udienza dei richiedenti e del </w:t>
      </w:r>
      <w:r w:rsidR="002860AF" w:rsidRPr="004F76E5">
        <w:rPr>
          <w:rStyle w:val="sbb9ee52a"/>
          <w:rFonts w:eastAsiaTheme="majorEastAsia"/>
          <w:color w:val="000000"/>
        </w:rPr>
        <w:t>GP</w:t>
      </w:r>
      <w:r w:rsidRPr="004F76E5">
        <w:rPr>
          <w:rStyle w:val="sbb9ee52a"/>
          <w:rFonts w:eastAsiaTheme="majorEastAsia"/>
          <w:color w:val="000000"/>
        </w:rPr>
        <w:t xml:space="preserve"> di base e ha richiesto un rapporto ai servizi sociali.</w:t>
      </w:r>
    </w:p>
    <w:p w14:paraId="22871306" w14:textId="1794CB55"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14" w:name="paragraph00020"/>
      <w:r w:rsidRPr="004F76E5">
        <w:rPr>
          <w:rStyle w:val="sbb9ee52a"/>
          <w:rFonts w:eastAsiaTheme="majorEastAsia"/>
          <w:b/>
          <w:bCs/>
          <w:color w:val="000000"/>
        </w:rPr>
        <w:t>20</w:t>
      </w:r>
      <w:bookmarkEnd w:id="14"/>
      <w:r w:rsidRPr="004F76E5">
        <w:rPr>
          <w:rStyle w:val="sbb9ee52a"/>
          <w:rFonts w:eastAsiaTheme="majorEastAsia"/>
          <w:color w:val="000000"/>
        </w:rPr>
        <w:t xml:space="preserve">. Durante le udienze davanti al Tribunale </w:t>
      </w:r>
      <w:r w:rsidR="002860AF" w:rsidRPr="004F76E5">
        <w:rPr>
          <w:rStyle w:val="sbb9ee52a"/>
          <w:rFonts w:eastAsiaTheme="majorEastAsia"/>
          <w:color w:val="000000"/>
        </w:rPr>
        <w:t xml:space="preserve">per i Minori </w:t>
      </w:r>
      <w:r w:rsidRPr="004F76E5">
        <w:rPr>
          <w:rStyle w:val="sbb9ee52a"/>
          <w:rFonts w:eastAsiaTheme="majorEastAsia"/>
          <w:color w:val="000000"/>
        </w:rPr>
        <w:t xml:space="preserve">del </w:t>
      </w:r>
      <w:r w:rsidRPr="004F76E5">
        <w:rPr>
          <w:rStyle w:val="sbb9ee52a"/>
          <w:rFonts w:eastAsiaTheme="majorEastAsia"/>
          <w:b/>
          <w:bCs/>
          <w:color w:val="000000"/>
        </w:rPr>
        <w:t>14 marzo e 8 aprile 2022</w:t>
      </w:r>
      <w:r w:rsidRPr="004F76E5">
        <w:rPr>
          <w:rStyle w:val="sbb9ee52a"/>
          <w:rFonts w:eastAsiaTheme="majorEastAsia"/>
          <w:color w:val="000000"/>
        </w:rPr>
        <w:t xml:space="preserve">, i tre richiedenti hanno denunciato gli abusi e i maltrattamenti subiti, fornendo dettagli sul comportamento del </w:t>
      </w:r>
      <w:r w:rsidR="002860AF" w:rsidRPr="004F76E5">
        <w:rPr>
          <w:rStyle w:val="sbb9ee52a"/>
          <w:rFonts w:eastAsiaTheme="majorEastAsia"/>
          <w:color w:val="000000"/>
        </w:rPr>
        <w:t>GP</w:t>
      </w:r>
      <w:r w:rsidRPr="004F76E5">
        <w:rPr>
          <w:rStyle w:val="sbb9ee52a"/>
          <w:rFonts w:eastAsiaTheme="majorEastAsia"/>
          <w:color w:val="000000"/>
        </w:rPr>
        <w:t xml:space="preserve"> nei loro confronti. I colloqui con i servizi sociali si sono svolti, con il supporto di uno psicologo, </w:t>
      </w:r>
      <w:r w:rsidRPr="004F76E5">
        <w:rPr>
          <w:rStyle w:val="sbb9ee52a"/>
          <w:rFonts w:eastAsiaTheme="majorEastAsia"/>
          <w:b/>
          <w:bCs/>
          <w:color w:val="000000"/>
        </w:rPr>
        <w:t>dall'8 aprile 2022</w:t>
      </w:r>
      <w:r w:rsidRPr="004F76E5">
        <w:rPr>
          <w:rStyle w:val="sbb9ee52a"/>
          <w:rFonts w:eastAsiaTheme="majorEastAsia"/>
          <w:color w:val="000000"/>
        </w:rPr>
        <w:t>, su richiesta dell'avvocato del primo richiedente.</w:t>
      </w:r>
    </w:p>
    <w:p w14:paraId="32F19077" w14:textId="36CDE1F5"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15" w:name="paragraph00021"/>
      <w:r w:rsidRPr="004F76E5">
        <w:rPr>
          <w:rStyle w:val="sbb9ee52a"/>
          <w:rFonts w:eastAsiaTheme="majorEastAsia"/>
          <w:b/>
          <w:bCs/>
          <w:color w:val="000000"/>
        </w:rPr>
        <w:t>21</w:t>
      </w:r>
      <w:bookmarkEnd w:id="15"/>
      <w:r w:rsidRPr="004F76E5">
        <w:rPr>
          <w:rStyle w:val="sbb9ee52a"/>
          <w:rFonts w:eastAsiaTheme="majorEastAsia"/>
          <w:b/>
          <w:bCs/>
          <w:color w:val="000000"/>
        </w:rPr>
        <w:t>.</w:t>
      </w:r>
      <w:r w:rsidRPr="004F76E5">
        <w:rPr>
          <w:rStyle w:val="sbb9ee52a"/>
          <w:rFonts w:eastAsiaTheme="majorEastAsia"/>
          <w:color w:val="000000"/>
        </w:rPr>
        <w:t xml:space="preserve"> Sono state quindi organizzate visite supervisionate tra il secondo e il terzo richiedente e il </w:t>
      </w:r>
      <w:proofErr w:type="gramStart"/>
      <w:r w:rsidR="002860AF" w:rsidRPr="004F76E5">
        <w:rPr>
          <w:rStyle w:val="sbb9ee52a"/>
          <w:rFonts w:eastAsiaTheme="majorEastAsia"/>
          <w:color w:val="000000"/>
        </w:rPr>
        <w:t xml:space="preserve">GP </w:t>
      </w:r>
      <w:r w:rsidRPr="004F76E5">
        <w:rPr>
          <w:rStyle w:val="sbb9ee52a"/>
          <w:rFonts w:eastAsiaTheme="majorEastAsia"/>
          <w:color w:val="000000"/>
        </w:rPr>
        <w:t xml:space="preserve"> su</w:t>
      </w:r>
      <w:proofErr w:type="gramEnd"/>
      <w:r w:rsidRPr="004F76E5">
        <w:rPr>
          <w:rStyle w:val="sbb9ee52a"/>
          <w:rFonts w:eastAsiaTheme="majorEastAsia"/>
          <w:color w:val="000000"/>
        </w:rPr>
        <w:t xml:space="preserve"> richiesta sia del tutore dei minori. La prima ricorrente aveva specificato che, data la violenza subita dai minori, non poteva dire se gli incontri sarebbero stati pericolosi per loro, ma che avrebbe acconsentito solo se si fossero svolti in un contesto protetto e supervisionato. Il secondo e il terzo richiedente, ascoltati su questo punto, dichiararono di non voler vedere il padre e riferirono diversi episodi di violenza subiti. Gli incontri si sono svolti il </w:t>
      </w:r>
      <w:r w:rsidRPr="004F76E5">
        <w:rPr>
          <w:rStyle w:val="sbb9ee52a"/>
          <w:rFonts w:eastAsiaTheme="majorEastAsia"/>
          <w:b/>
          <w:bCs/>
          <w:color w:val="000000"/>
        </w:rPr>
        <w:t>29 aprile, 13 e 25 maggio, e il 6 giugno 2022</w:t>
      </w:r>
      <w:r w:rsidRPr="004F76E5">
        <w:rPr>
          <w:rStyle w:val="sbb9ee52a"/>
          <w:rFonts w:eastAsiaTheme="majorEastAsia"/>
          <w:color w:val="000000"/>
        </w:rPr>
        <w:t xml:space="preserve">. Secondo il rapporto dei servizi sociali, durante le visite supervisionate il secondo e il terzo richiedente hanno costantemente espresso </w:t>
      </w:r>
      <w:r w:rsidRPr="004F76E5">
        <w:rPr>
          <w:rStyle w:val="sbb9ee52a"/>
          <w:rFonts w:eastAsiaTheme="majorEastAsia"/>
          <w:b/>
          <w:bCs/>
          <w:color w:val="000000"/>
        </w:rPr>
        <w:t>grande paura e si sono rifiutati di vedere il padre e di ricevere i suoi regali (un telefono cellulare)</w:t>
      </w:r>
      <w:r w:rsidRPr="004F76E5">
        <w:rPr>
          <w:rStyle w:val="sbb9ee52a"/>
          <w:rFonts w:eastAsiaTheme="majorEastAsia"/>
          <w:color w:val="000000"/>
        </w:rPr>
        <w:t xml:space="preserve">. Durante l'ultima riunione G.P. si è comportato in modo aggressivo, urlando. Il rapporto affermava che, in quell'occasione, il rifiuto dei bambini di vedere il padre era così forte che si erano nascosti nel bagagliaio dell'auto della madre per evitare di essere costretti a vederlo. Il rapporto ha inoltre evidenziato un preoccupante cambiamento nel comportamento del secondo e terzo </w:t>
      </w:r>
      <w:r w:rsidR="002860AF" w:rsidRPr="004F76E5">
        <w:rPr>
          <w:rStyle w:val="sbb9ee52a"/>
          <w:rFonts w:eastAsiaTheme="majorEastAsia"/>
          <w:color w:val="000000"/>
        </w:rPr>
        <w:t xml:space="preserve">ricorrente </w:t>
      </w:r>
      <w:r w:rsidRPr="004F76E5">
        <w:rPr>
          <w:rStyle w:val="sbb9ee52a"/>
          <w:rFonts w:eastAsiaTheme="majorEastAsia"/>
          <w:color w:val="000000"/>
        </w:rPr>
        <w:t>e ha sottolineato la necessità che vedano un neuropsichiatra.</w:t>
      </w:r>
    </w:p>
    <w:p w14:paraId="7840036A" w14:textId="77777777"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16" w:name="paragraph00022"/>
      <w:r w:rsidRPr="004F76E5">
        <w:rPr>
          <w:rStyle w:val="sbb9ee52a"/>
          <w:rFonts w:eastAsiaTheme="majorEastAsia"/>
          <w:b/>
          <w:bCs/>
          <w:color w:val="000000"/>
        </w:rPr>
        <w:t>22</w:t>
      </w:r>
      <w:bookmarkEnd w:id="16"/>
      <w:r w:rsidRPr="004F76E5">
        <w:rPr>
          <w:rStyle w:val="sbb9ee52a"/>
          <w:rFonts w:eastAsiaTheme="majorEastAsia"/>
          <w:color w:val="000000"/>
        </w:rPr>
        <w:t xml:space="preserve">. In un rapporto datato </w:t>
      </w:r>
      <w:r w:rsidRPr="004F76E5">
        <w:rPr>
          <w:rStyle w:val="sbb9ee52a"/>
          <w:rFonts w:eastAsiaTheme="majorEastAsia"/>
          <w:b/>
          <w:bCs/>
          <w:color w:val="000000"/>
        </w:rPr>
        <w:t>29 maggio 2022</w:t>
      </w:r>
      <w:r w:rsidRPr="004F76E5">
        <w:rPr>
          <w:rStyle w:val="sbb9ee52a"/>
          <w:rFonts w:eastAsiaTheme="majorEastAsia"/>
          <w:color w:val="000000"/>
        </w:rPr>
        <w:t xml:space="preserve"> i servizi sociali hanno </w:t>
      </w:r>
      <w:r w:rsidRPr="004F76E5">
        <w:rPr>
          <w:rStyle w:val="sbb9ee52a"/>
          <w:rFonts w:eastAsiaTheme="majorEastAsia"/>
          <w:b/>
          <w:bCs/>
          <w:color w:val="000000"/>
        </w:rPr>
        <w:t xml:space="preserve">descritto la paura del secondo e terzo richiedente nei confronti del padre e il loro rifiuto di vederlo. </w:t>
      </w:r>
      <w:r w:rsidRPr="004F76E5">
        <w:rPr>
          <w:rStyle w:val="sbb9ee52a"/>
          <w:rFonts w:eastAsiaTheme="majorEastAsia"/>
          <w:color w:val="000000"/>
        </w:rPr>
        <w:t xml:space="preserve">Lo psicologo ha fatto notare che il secondo e il terzo candidato avevano detto di essere stati picchiati dal padre con una cintura, </w:t>
      </w:r>
      <w:r w:rsidRPr="004F76E5">
        <w:rPr>
          <w:rStyle w:val="sbb9ee52a"/>
          <w:rFonts w:eastAsiaTheme="majorEastAsia"/>
          <w:color w:val="000000"/>
        </w:rPr>
        <w:lastRenderedPageBreak/>
        <w:t>che era stata lasciata sul tavolo durante il pranzo per intimidirli. Il rapporto sottolineava che la prima ricorrente aveva sempre cercato di incoraggiare i figli a rispettare l'ordine del tribunale e a vedere il padre, ma aveva ricevuto solo rifiuti, lacrime e disperazione in cambio.</w:t>
      </w:r>
    </w:p>
    <w:p w14:paraId="4ACFDFB6" w14:textId="42F1F615"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17" w:name="paragraph00023"/>
      <w:r w:rsidRPr="004F76E5">
        <w:rPr>
          <w:rStyle w:val="sbb9ee52a"/>
          <w:rFonts w:eastAsiaTheme="majorEastAsia"/>
          <w:b/>
          <w:bCs/>
          <w:color w:val="000000"/>
        </w:rPr>
        <w:t>23</w:t>
      </w:r>
      <w:bookmarkEnd w:id="17"/>
      <w:r w:rsidRPr="004F76E5">
        <w:rPr>
          <w:rStyle w:val="sbb9ee52a"/>
          <w:rFonts w:eastAsiaTheme="majorEastAsia"/>
          <w:color w:val="000000"/>
        </w:rPr>
        <w:t xml:space="preserve">. Con una decisione provvisoria del </w:t>
      </w:r>
      <w:r w:rsidRPr="004F76E5">
        <w:rPr>
          <w:rStyle w:val="sbb9ee52a"/>
          <w:rFonts w:eastAsiaTheme="majorEastAsia"/>
          <w:b/>
          <w:bCs/>
          <w:color w:val="000000"/>
        </w:rPr>
        <w:t>17 giugno 2022</w:t>
      </w:r>
      <w:r w:rsidRPr="004F76E5">
        <w:rPr>
          <w:rStyle w:val="sbb9ee52a"/>
          <w:rFonts w:eastAsiaTheme="majorEastAsia"/>
          <w:color w:val="000000"/>
        </w:rPr>
        <w:t xml:space="preserve">, il Tribunale </w:t>
      </w:r>
      <w:r w:rsidR="002860AF" w:rsidRPr="004F76E5">
        <w:rPr>
          <w:rStyle w:val="sbb9ee52a"/>
          <w:rFonts w:eastAsiaTheme="majorEastAsia"/>
          <w:color w:val="000000"/>
        </w:rPr>
        <w:t xml:space="preserve">per i Minori </w:t>
      </w:r>
      <w:r w:rsidRPr="004F76E5">
        <w:rPr>
          <w:rStyle w:val="sbb9ee52a"/>
          <w:rFonts w:eastAsiaTheme="majorEastAsia"/>
          <w:color w:val="000000"/>
        </w:rPr>
        <w:t xml:space="preserve">ha </w:t>
      </w:r>
      <w:r w:rsidRPr="004F76E5">
        <w:rPr>
          <w:rStyle w:val="sbb9ee52a"/>
          <w:rFonts w:eastAsiaTheme="majorEastAsia"/>
          <w:b/>
          <w:bCs/>
          <w:color w:val="000000"/>
        </w:rPr>
        <w:t xml:space="preserve">sospeso provvisoriamente la responsabilità genitoriale del </w:t>
      </w:r>
      <w:r w:rsidR="002860AF" w:rsidRPr="004F76E5">
        <w:rPr>
          <w:rStyle w:val="sbb9ee52a"/>
          <w:rFonts w:eastAsiaTheme="majorEastAsia"/>
          <w:b/>
          <w:bCs/>
          <w:color w:val="000000"/>
        </w:rPr>
        <w:t xml:space="preserve">GP </w:t>
      </w:r>
      <w:r w:rsidRPr="004F76E5">
        <w:rPr>
          <w:rStyle w:val="sbb9ee52a"/>
          <w:rFonts w:eastAsiaTheme="majorEastAsia"/>
          <w:b/>
          <w:bCs/>
          <w:color w:val="000000"/>
        </w:rPr>
        <w:t>e gli incontri supervisionati con i bambini</w:t>
      </w:r>
      <w:r w:rsidRPr="004F76E5">
        <w:rPr>
          <w:rStyle w:val="sbb9ee52a"/>
          <w:rFonts w:eastAsiaTheme="majorEastAsia"/>
          <w:color w:val="000000"/>
        </w:rPr>
        <w:t xml:space="preserve">. Ha stabilito che il secondo e il terzo richiedente dovrebbero ricevere urgentemente supporto psicologico e ha indicato che il </w:t>
      </w:r>
      <w:r w:rsidR="002860AF" w:rsidRPr="004F76E5">
        <w:rPr>
          <w:rStyle w:val="sbb9ee52a"/>
          <w:rFonts w:eastAsiaTheme="majorEastAsia"/>
          <w:color w:val="000000"/>
        </w:rPr>
        <w:t xml:space="preserve">GP </w:t>
      </w:r>
      <w:r w:rsidRPr="004F76E5">
        <w:rPr>
          <w:rStyle w:val="sbb9ee52a"/>
          <w:rFonts w:eastAsiaTheme="majorEastAsia"/>
          <w:color w:val="000000"/>
        </w:rPr>
        <w:t xml:space="preserve">potrebbe, se lo desidera, seguire consulenza psicologica e una valutazione della propria capacità genitoriale. Il Tribunale </w:t>
      </w:r>
      <w:r w:rsidR="002860AF" w:rsidRPr="004F76E5">
        <w:rPr>
          <w:rStyle w:val="sbb9ee52a"/>
          <w:rFonts w:eastAsiaTheme="majorEastAsia"/>
          <w:color w:val="000000"/>
        </w:rPr>
        <w:t xml:space="preserve">per i Minori </w:t>
      </w:r>
      <w:r w:rsidRPr="004F76E5">
        <w:rPr>
          <w:rStyle w:val="sbb9ee52a"/>
          <w:rFonts w:eastAsiaTheme="majorEastAsia"/>
          <w:color w:val="000000"/>
        </w:rPr>
        <w:t>ha confermato l'inserimento del secondo e terzo richiedente nel rifugio e ha autorizzato il primo richiedente a rimanere lì per motivi di benessere.</w:t>
      </w:r>
      <w:r w:rsidRPr="004F76E5">
        <w:rPr>
          <w:rStyle w:val="s4bae41ee"/>
          <w:rFonts w:eastAsiaTheme="majorEastAsia"/>
          <w:color w:val="000000"/>
        </w:rPr>
        <w:t> </w:t>
      </w:r>
      <w:r w:rsidRPr="004F76E5">
        <w:rPr>
          <w:rStyle w:val="sbb9ee52a"/>
          <w:rFonts w:eastAsiaTheme="majorEastAsia"/>
          <w:color w:val="000000"/>
        </w:rPr>
        <w:t xml:space="preserve">Ha inoltre rinviato il caso fino alla prossima udienza prevista per il </w:t>
      </w:r>
      <w:r w:rsidRPr="004F76E5">
        <w:rPr>
          <w:rStyle w:val="sbb9ee52a"/>
          <w:rFonts w:eastAsiaTheme="majorEastAsia"/>
          <w:b/>
          <w:bCs/>
          <w:color w:val="000000"/>
        </w:rPr>
        <w:t>16 dicembre 2022</w:t>
      </w:r>
      <w:r w:rsidRPr="004F76E5">
        <w:rPr>
          <w:rStyle w:val="sbb9ee52a"/>
          <w:rFonts w:eastAsiaTheme="majorEastAsia"/>
          <w:color w:val="000000"/>
        </w:rPr>
        <w:t>.</w:t>
      </w:r>
    </w:p>
    <w:p w14:paraId="23C619AB" w14:textId="77777777" w:rsidR="00BF0D69" w:rsidRPr="004F76E5" w:rsidRDefault="00BF0D69" w:rsidP="00BF0D69">
      <w:pPr>
        <w:pStyle w:val="s10950c61"/>
        <w:shd w:val="clear" w:color="auto" w:fill="FFFFFF"/>
        <w:spacing w:before="0" w:beforeAutospacing="0" w:after="0" w:afterAutospacing="0"/>
        <w:ind w:firstLine="284"/>
        <w:jc w:val="both"/>
        <w:rPr>
          <w:color w:val="000000"/>
        </w:rPr>
      </w:pPr>
      <w:r w:rsidRPr="004F76E5">
        <w:rPr>
          <w:rStyle w:val="sbb9ee52a"/>
          <w:rFonts w:eastAsiaTheme="majorEastAsia"/>
          <w:b/>
          <w:bCs/>
          <w:color w:val="000000"/>
        </w:rPr>
        <w:t>24</w:t>
      </w:r>
      <w:r w:rsidRPr="004F76E5">
        <w:rPr>
          <w:rStyle w:val="sbb9ee52a"/>
          <w:rFonts w:eastAsiaTheme="majorEastAsia"/>
          <w:color w:val="000000"/>
        </w:rPr>
        <w:t xml:space="preserve">. Il </w:t>
      </w:r>
      <w:r w:rsidRPr="004F76E5">
        <w:rPr>
          <w:rStyle w:val="sbb9ee52a"/>
          <w:rFonts w:eastAsiaTheme="majorEastAsia"/>
          <w:b/>
          <w:bCs/>
          <w:color w:val="000000"/>
        </w:rPr>
        <w:t>25 luglio 2022</w:t>
      </w:r>
      <w:r w:rsidRPr="004F76E5">
        <w:rPr>
          <w:rStyle w:val="sbb9ee52a"/>
          <w:rFonts w:eastAsiaTheme="majorEastAsia"/>
          <w:color w:val="000000"/>
        </w:rPr>
        <w:t xml:space="preserve"> G.P. ha fatto appello contro la decisione provvisoria davanti alla Corte d'Appello.</w:t>
      </w:r>
    </w:p>
    <w:p w14:paraId="01D372B7" w14:textId="4B6AEE0B" w:rsidR="00BF0D69" w:rsidRPr="004F76E5" w:rsidRDefault="00BF0D69" w:rsidP="00BF0D69">
      <w:pPr>
        <w:pStyle w:val="s10950c61"/>
        <w:shd w:val="clear" w:color="auto" w:fill="FFFFFF"/>
        <w:spacing w:before="0" w:beforeAutospacing="0" w:after="0" w:afterAutospacing="0"/>
        <w:ind w:firstLine="284"/>
        <w:jc w:val="both"/>
        <w:rPr>
          <w:color w:val="000000"/>
        </w:rPr>
      </w:pPr>
      <w:r w:rsidRPr="004F76E5">
        <w:rPr>
          <w:rStyle w:val="sbb9ee52a"/>
          <w:rFonts w:eastAsiaTheme="majorEastAsia"/>
          <w:b/>
          <w:bCs/>
          <w:color w:val="000000"/>
        </w:rPr>
        <w:t>25</w:t>
      </w:r>
      <w:r w:rsidRPr="004F76E5">
        <w:rPr>
          <w:rStyle w:val="sbb9ee52a"/>
          <w:rFonts w:eastAsiaTheme="majorEastAsia"/>
          <w:color w:val="000000"/>
        </w:rPr>
        <w:t xml:space="preserve">. L'udienza davanti al Tribunale </w:t>
      </w:r>
      <w:r w:rsidR="002860AF" w:rsidRPr="004F76E5">
        <w:rPr>
          <w:rStyle w:val="sbb9ee52a"/>
          <w:rFonts w:eastAsiaTheme="majorEastAsia"/>
          <w:color w:val="000000"/>
        </w:rPr>
        <w:t xml:space="preserve">per </w:t>
      </w:r>
      <w:r w:rsidRPr="004F76E5">
        <w:rPr>
          <w:rStyle w:val="sbb9ee52a"/>
          <w:rFonts w:eastAsiaTheme="majorEastAsia"/>
          <w:color w:val="000000"/>
        </w:rPr>
        <w:t xml:space="preserve">i Minori, inizialmente prevista per il 16 dicembre 2022, è stata successivamente </w:t>
      </w:r>
      <w:r w:rsidRPr="004F76E5">
        <w:rPr>
          <w:rStyle w:val="sbb9ee52a"/>
          <w:rFonts w:eastAsiaTheme="majorEastAsia"/>
          <w:b/>
          <w:bCs/>
          <w:color w:val="000000"/>
        </w:rPr>
        <w:t>rinviata al 6 luglio 2023</w:t>
      </w:r>
      <w:r w:rsidRPr="004F76E5">
        <w:rPr>
          <w:rStyle w:val="sbb9ee52a"/>
          <w:rFonts w:eastAsiaTheme="majorEastAsia"/>
          <w:color w:val="000000"/>
        </w:rPr>
        <w:t>.</w:t>
      </w:r>
    </w:p>
    <w:p w14:paraId="27E495CC" w14:textId="77777777" w:rsidR="00BF0D69" w:rsidRPr="004F76E5" w:rsidRDefault="00BF0D69" w:rsidP="00BF0D69">
      <w:pPr>
        <w:pStyle w:val="s10950c61"/>
        <w:shd w:val="clear" w:color="auto" w:fill="FFFFFF"/>
        <w:spacing w:before="0" w:beforeAutospacing="0" w:after="0" w:afterAutospacing="0"/>
        <w:ind w:firstLine="284"/>
        <w:jc w:val="both"/>
        <w:rPr>
          <w:color w:val="000000"/>
        </w:rPr>
      </w:pPr>
      <w:r w:rsidRPr="004F76E5">
        <w:rPr>
          <w:rStyle w:val="sbb9ee52a"/>
          <w:rFonts w:eastAsiaTheme="majorEastAsia"/>
          <w:color w:val="000000"/>
        </w:rPr>
        <w:t xml:space="preserve">26. Con una sentenza del 14 aprile 2023, la Corte d'Appello ha </w:t>
      </w:r>
      <w:r w:rsidRPr="004F76E5">
        <w:rPr>
          <w:rStyle w:val="sbb9ee52a"/>
          <w:rFonts w:eastAsiaTheme="majorEastAsia"/>
          <w:b/>
          <w:bCs/>
          <w:color w:val="000000"/>
        </w:rPr>
        <w:t>respinto il ricorso di G.P.</w:t>
      </w:r>
      <w:r w:rsidRPr="004F76E5">
        <w:rPr>
          <w:rStyle w:val="sbb9ee52a"/>
          <w:rFonts w:eastAsiaTheme="majorEastAsia"/>
          <w:color w:val="000000"/>
        </w:rPr>
        <w:t xml:space="preserve"> e confermato la decisione provvisoria del 17 giugno 2022.</w:t>
      </w:r>
    </w:p>
    <w:p w14:paraId="797C9FE8" w14:textId="77777777" w:rsidR="002860AF"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bookmarkStart w:id="18" w:name="paragraph00027"/>
      <w:r w:rsidRPr="004F76E5">
        <w:rPr>
          <w:rStyle w:val="sbb9ee52a"/>
          <w:rFonts w:eastAsiaTheme="majorEastAsia"/>
          <w:b/>
          <w:bCs/>
          <w:color w:val="000000"/>
        </w:rPr>
        <w:t>27</w:t>
      </w:r>
      <w:bookmarkEnd w:id="18"/>
      <w:r w:rsidRPr="004F76E5">
        <w:rPr>
          <w:rStyle w:val="sbb9ee52a"/>
          <w:rFonts w:eastAsiaTheme="majorEastAsia"/>
          <w:color w:val="000000"/>
        </w:rPr>
        <w:t xml:space="preserve">. In diversi rapporti presentati al Tribunale </w:t>
      </w:r>
      <w:r w:rsidR="002860AF" w:rsidRPr="004F76E5">
        <w:rPr>
          <w:rStyle w:val="sbb9ee52a"/>
          <w:rFonts w:eastAsiaTheme="majorEastAsia"/>
          <w:color w:val="000000"/>
        </w:rPr>
        <w:t xml:space="preserve">per i Minori </w:t>
      </w:r>
    </w:p>
    <w:p w14:paraId="241BF456" w14:textId="2BDBE8FF" w:rsidR="002860AF"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color w:val="000000"/>
        </w:rPr>
        <w:t xml:space="preserve"> (</w:t>
      </w:r>
      <w:r w:rsidR="006528D1" w:rsidRPr="004F76E5">
        <w:rPr>
          <w:rStyle w:val="sbb9ee52a"/>
          <w:rFonts w:eastAsiaTheme="majorEastAsia"/>
          <w:color w:val="000000"/>
        </w:rPr>
        <w:t>I</w:t>
      </w:r>
      <w:r w:rsidRPr="004F76E5">
        <w:rPr>
          <w:rStyle w:val="sbb9ee52a"/>
          <w:rFonts w:eastAsiaTheme="majorEastAsia"/>
          <w:color w:val="000000"/>
        </w:rPr>
        <w:t xml:space="preserve">) il rapporto dell'Autorità Sanitaria Locale di Salerno del 14 novembre 2022; </w:t>
      </w:r>
    </w:p>
    <w:p w14:paraId="48D43642" w14:textId="6DDB086A" w:rsidR="002860AF"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color w:val="000000"/>
        </w:rPr>
        <w:t>(</w:t>
      </w:r>
      <w:r w:rsidR="006528D1" w:rsidRPr="004F76E5">
        <w:rPr>
          <w:rStyle w:val="sbb9ee52a"/>
          <w:rFonts w:eastAsiaTheme="majorEastAsia"/>
          <w:color w:val="000000"/>
        </w:rPr>
        <w:t>II</w:t>
      </w:r>
      <w:r w:rsidRPr="004F76E5">
        <w:rPr>
          <w:rStyle w:val="sbb9ee52a"/>
          <w:rFonts w:eastAsiaTheme="majorEastAsia"/>
          <w:color w:val="000000"/>
        </w:rPr>
        <w:t xml:space="preserve">) un rapporto del direttore del rifugio datato 19 novembre 2022; </w:t>
      </w:r>
    </w:p>
    <w:p w14:paraId="142BBCF8" w14:textId="32170227" w:rsidR="006528D1"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color w:val="000000"/>
        </w:rPr>
        <w:t>(</w:t>
      </w:r>
      <w:r w:rsidR="006528D1" w:rsidRPr="004F76E5">
        <w:rPr>
          <w:rStyle w:val="sbb9ee52a"/>
          <w:rFonts w:eastAsiaTheme="majorEastAsia"/>
          <w:color w:val="000000"/>
        </w:rPr>
        <w:t>III</w:t>
      </w:r>
      <w:r w:rsidRPr="004F76E5">
        <w:rPr>
          <w:rStyle w:val="sbb9ee52a"/>
          <w:rFonts w:eastAsiaTheme="majorEastAsia"/>
          <w:color w:val="000000"/>
        </w:rPr>
        <w:t xml:space="preserve">) un rapporto dell'assistente sociale e dello psicologo responsabili del secondo e terzo richiedente datato 25 novembre 2022; </w:t>
      </w:r>
    </w:p>
    <w:p w14:paraId="0A80769C" w14:textId="77777777" w:rsidR="006528D1"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color w:val="000000"/>
        </w:rPr>
        <w:t>(</w:t>
      </w:r>
      <w:r w:rsidR="006528D1" w:rsidRPr="004F76E5">
        <w:rPr>
          <w:rStyle w:val="sbb9ee52a"/>
          <w:rFonts w:eastAsiaTheme="majorEastAsia"/>
          <w:color w:val="000000"/>
        </w:rPr>
        <w:t>IV</w:t>
      </w:r>
      <w:r w:rsidRPr="004F76E5">
        <w:rPr>
          <w:rStyle w:val="sbb9ee52a"/>
          <w:rFonts w:eastAsiaTheme="majorEastAsia"/>
          <w:color w:val="000000"/>
        </w:rPr>
        <w:t xml:space="preserve">) il rapporto del pubblico ministero datato 13 giugno 2022 che richiedeva la sospensione delle riunioni e la responsabilità genitoriale del </w:t>
      </w:r>
      <w:r w:rsidR="006528D1" w:rsidRPr="004F76E5">
        <w:rPr>
          <w:rStyle w:val="sbb9ee52a"/>
          <w:rFonts w:eastAsiaTheme="majorEastAsia"/>
          <w:color w:val="000000"/>
        </w:rPr>
        <w:t>GP</w:t>
      </w:r>
      <w:r w:rsidRPr="004F76E5">
        <w:rPr>
          <w:rStyle w:val="sbb9ee52a"/>
          <w:rFonts w:eastAsiaTheme="majorEastAsia"/>
          <w:color w:val="000000"/>
        </w:rPr>
        <w:t xml:space="preserve">; </w:t>
      </w:r>
    </w:p>
    <w:p w14:paraId="3865E1E2" w14:textId="77777777" w:rsidR="006528D1"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color w:val="000000"/>
        </w:rPr>
        <w:t>(</w:t>
      </w:r>
      <w:r w:rsidR="006528D1" w:rsidRPr="004F76E5">
        <w:rPr>
          <w:rStyle w:val="sbb9ee52a"/>
          <w:rFonts w:eastAsiaTheme="majorEastAsia"/>
          <w:color w:val="000000"/>
        </w:rPr>
        <w:t>V</w:t>
      </w:r>
      <w:r w:rsidRPr="004F76E5">
        <w:rPr>
          <w:rStyle w:val="sbb9ee52a"/>
          <w:rFonts w:eastAsiaTheme="majorEastAsia"/>
          <w:color w:val="000000"/>
        </w:rPr>
        <w:t xml:space="preserve">) un rapporto psicologico sul primo richiedente datato 28 aprile 2023; </w:t>
      </w:r>
    </w:p>
    <w:p w14:paraId="45AA8B6D" w14:textId="77777777" w:rsidR="006528D1"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color w:val="000000"/>
        </w:rPr>
        <w:t>(</w:t>
      </w:r>
      <w:r w:rsidR="006528D1" w:rsidRPr="004F76E5">
        <w:rPr>
          <w:rStyle w:val="sbb9ee52a"/>
          <w:rFonts w:eastAsiaTheme="majorEastAsia"/>
          <w:color w:val="000000"/>
        </w:rPr>
        <w:t>VI</w:t>
      </w:r>
      <w:r w:rsidRPr="004F76E5">
        <w:rPr>
          <w:rStyle w:val="sbb9ee52a"/>
          <w:rFonts w:eastAsiaTheme="majorEastAsia"/>
          <w:color w:val="000000"/>
        </w:rPr>
        <w:t xml:space="preserve">) un rapporto del rifugio datato 8 giugno 2023; </w:t>
      </w:r>
    </w:p>
    <w:p w14:paraId="2CA21B7A" w14:textId="77777777" w:rsidR="006528D1"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color w:val="000000"/>
        </w:rPr>
        <w:t>(</w:t>
      </w:r>
      <w:r w:rsidR="006528D1" w:rsidRPr="004F76E5">
        <w:rPr>
          <w:rStyle w:val="sbb9ee52a"/>
          <w:rFonts w:eastAsiaTheme="majorEastAsia"/>
          <w:color w:val="000000"/>
        </w:rPr>
        <w:t>VII</w:t>
      </w:r>
      <w:r w:rsidRPr="004F76E5">
        <w:rPr>
          <w:rStyle w:val="sbb9ee52a"/>
          <w:rFonts w:eastAsiaTheme="majorEastAsia"/>
          <w:color w:val="000000"/>
        </w:rPr>
        <w:t xml:space="preserve">) un rapporto dei servizi sociali datato 22 giugno 2023 che evidenzia la presenza e il sostegno costanti del primo richiedente e la sofferenza e il desiderio del secondo e terzo richiedente di lasciare il rifugio – si affermava che i bambini stavano soffrendo di gravi disagi psicologici a causa del comportamento del padre. </w:t>
      </w:r>
    </w:p>
    <w:p w14:paraId="07537940" w14:textId="629C98E3" w:rsidR="00BF0D69" w:rsidRPr="004F76E5" w:rsidRDefault="00BF0D69" w:rsidP="00BF0D69">
      <w:pPr>
        <w:pStyle w:val="s10950c61"/>
        <w:shd w:val="clear" w:color="auto" w:fill="FFFFFF"/>
        <w:spacing w:before="0" w:beforeAutospacing="0" w:after="0" w:afterAutospacing="0"/>
        <w:ind w:firstLine="284"/>
        <w:jc w:val="both"/>
        <w:rPr>
          <w:color w:val="000000"/>
        </w:rPr>
      </w:pPr>
      <w:r w:rsidRPr="004F76E5">
        <w:rPr>
          <w:rStyle w:val="sbb9ee52a"/>
          <w:rFonts w:eastAsiaTheme="majorEastAsia"/>
          <w:color w:val="000000"/>
        </w:rPr>
        <w:t xml:space="preserve">I rapporti hanno anche evidenziato che il soggiorno del secondo e terzo richiedente nel rifugio contribuiva al loro disagio: le regole interne del rifugio, come il divieto di uscire tra le 20:00 e le 8:00 e la domenica pomeriggio, hanno avuto un impatto negativo sugli sport, le attività extracurriculari e ricreative dei bambini. Infine, i rapporti sottolineavano che sia il secondo che il terzo richiedente </w:t>
      </w:r>
      <w:r w:rsidRPr="004F76E5">
        <w:rPr>
          <w:rStyle w:val="sbb9ee52a"/>
          <w:rFonts w:eastAsiaTheme="majorEastAsia"/>
          <w:b/>
          <w:bCs/>
          <w:color w:val="000000"/>
        </w:rPr>
        <w:t>avevano ripetutamente chiesto di lasciare il rifugio, tornare alla loro vita normale e raggiungere i nonni in Francia, mostrando reazioni insolite e preoccupanti (rabbia, tristezza, stanchezza fisica e mentale e episodi di incontinenza fecale nei confronti del terzo richiedente</w:t>
      </w:r>
      <w:r w:rsidRPr="004F76E5">
        <w:rPr>
          <w:rStyle w:val="sbb9ee52a"/>
          <w:rFonts w:eastAsiaTheme="majorEastAsia"/>
          <w:color w:val="000000"/>
        </w:rPr>
        <w:t>) a causa della natura prolungata della situazione. È stato quindi sottolineato che il rifugio privava i bambini della loro libertà e che dovevano riprendere una vita normale con il primo richiedente, in mancanza di ciò c'era il rischio di gravi danni al loro sviluppo emotivo e relazionale. I rapporti hanno inoltre evidenziato il comportamento collaborativo del primo richiedente.</w:t>
      </w:r>
    </w:p>
    <w:p w14:paraId="285F30F7" w14:textId="28AF5BA7" w:rsidR="00BF0D69" w:rsidRPr="004F76E5" w:rsidRDefault="00BF0D69" w:rsidP="00BF0D69">
      <w:pPr>
        <w:pStyle w:val="s10950c61"/>
        <w:shd w:val="clear" w:color="auto" w:fill="FFFFFF"/>
        <w:spacing w:before="0" w:beforeAutospacing="0" w:after="0" w:afterAutospacing="0"/>
        <w:ind w:firstLine="284"/>
        <w:jc w:val="both"/>
        <w:rPr>
          <w:color w:val="000000"/>
        </w:rPr>
      </w:pPr>
      <w:r w:rsidRPr="004F76E5">
        <w:rPr>
          <w:rStyle w:val="sbb9ee52a"/>
          <w:rFonts w:eastAsiaTheme="majorEastAsia"/>
          <w:b/>
          <w:bCs/>
          <w:color w:val="000000"/>
        </w:rPr>
        <w:t>28</w:t>
      </w:r>
      <w:r w:rsidRPr="004F76E5">
        <w:rPr>
          <w:rStyle w:val="sbb9ee52a"/>
          <w:rFonts w:eastAsiaTheme="majorEastAsia"/>
          <w:color w:val="000000"/>
        </w:rPr>
        <w:t xml:space="preserve">. Il 6 luglio 2023 un'udienza fissata davanti al Tribunale </w:t>
      </w:r>
      <w:r w:rsidR="006528D1" w:rsidRPr="004F76E5">
        <w:rPr>
          <w:rStyle w:val="sbb9ee52a"/>
          <w:rFonts w:eastAsiaTheme="majorEastAsia"/>
          <w:color w:val="000000"/>
        </w:rPr>
        <w:t xml:space="preserve">per </w:t>
      </w:r>
      <w:r w:rsidRPr="004F76E5">
        <w:rPr>
          <w:rStyle w:val="sbb9ee52a"/>
          <w:rFonts w:eastAsiaTheme="majorEastAsia"/>
          <w:color w:val="000000"/>
        </w:rPr>
        <w:t xml:space="preserve">i Minori per pronunciarsi sul merito delle richieste del primo richiedente è stata </w:t>
      </w:r>
      <w:r w:rsidRPr="004F76E5">
        <w:rPr>
          <w:rStyle w:val="sbb9ee52a"/>
          <w:rFonts w:eastAsiaTheme="majorEastAsia"/>
          <w:b/>
          <w:bCs/>
          <w:color w:val="000000"/>
          <w:u w:val="single"/>
        </w:rPr>
        <w:t>nuovamente rinviata</w:t>
      </w:r>
      <w:r w:rsidRPr="004F76E5">
        <w:rPr>
          <w:rStyle w:val="sbb9ee52a"/>
          <w:rFonts w:eastAsiaTheme="majorEastAsia"/>
          <w:b/>
          <w:bCs/>
          <w:color w:val="000000"/>
        </w:rPr>
        <w:t xml:space="preserve"> e fissata per il 9 maggio 2024</w:t>
      </w:r>
      <w:r w:rsidRPr="004F76E5">
        <w:rPr>
          <w:rStyle w:val="sbb9ee52a"/>
          <w:rFonts w:eastAsiaTheme="majorEastAsia"/>
          <w:color w:val="000000"/>
        </w:rPr>
        <w:t>.</w:t>
      </w:r>
    </w:p>
    <w:p w14:paraId="66E64DB8" w14:textId="7E2E0DFF"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19" w:name="paragraph00029"/>
      <w:r w:rsidRPr="004F76E5">
        <w:rPr>
          <w:rStyle w:val="sbb9ee52a"/>
          <w:rFonts w:eastAsiaTheme="majorEastAsia"/>
          <w:b/>
          <w:bCs/>
          <w:color w:val="000000"/>
        </w:rPr>
        <w:t>29</w:t>
      </w:r>
      <w:bookmarkEnd w:id="19"/>
      <w:r w:rsidRPr="004F76E5">
        <w:rPr>
          <w:rStyle w:val="sbb9ee52a"/>
          <w:rFonts w:eastAsiaTheme="majorEastAsia"/>
          <w:color w:val="000000"/>
        </w:rPr>
        <w:t xml:space="preserve">. Il 25 luglio 2023 la prima richiedente ha presentato una </w:t>
      </w:r>
      <w:r w:rsidRPr="004F76E5">
        <w:rPr>
          <w:rStyle w:val="sbb9ee52a"/>
          <w:rFonts w:eastAsiaTheme="majorEastAsia"/>
          <w:b/>
          <w:bCs/>
          <w:color w:val="000000"/>
        </w:rPr>
        <w:t>richiesta urgente chiedendo nuovamente l'autorizzazione a trasferirsi in Francia con i suoi figli e, in modo subordinato, il permesso di trascorrere le vacanze estive in Francia nella casa di famiglia</w:t>
      </w:r>
      <w:r w:rsidRPr="004F76E5">
        <w:rPr>
          <w:rStyle w:val="sbb9ee52a"/>
          <w:rFonts w:eastAsiaTheme="majorEastAsia"/>
          <w:color w:val="000000"/>
        </w:rPr>
        <w:t xml:space="preserve">. Ha inoltre chiesto che l'udienza prevista per il 9 maggio 2024 </w:t>
      </w:r>
      <w:proofErr w:type="gramStart"/>
      <w:r w:rsidRPr="004F76E5">
        <w:rPr>
          <w:rStyle w:val="sbb9ee52a"/>
          <w:rFonts w:eastAsiaTheme="majorEastAsia"/>
          <w:b/>
          <w:bCs/>
          <w:color w:val="000000"/>
        </w:rPr>
        <w:t>ven</w:t>
      </w:r>
      <w:r w:rsidR="006528D1" w:rsidRPr="004F76E5">
        <w:rPr>
          <w:rStyle w:val="sbb9ee52a"/>
          <w:rFonts w:eastAsiaTheme="majorEastAsia"/>
          <w:b/>
          <w:bCs/>
          <w:color w:val="000000"/>
        </w:rPr>
        <w:t xml:space="preserve">isse </w:t>
      </w:r>
      <w:r w:rsidRPr="004F76E5">
        <w:rPr>
          <w:rStyle w:val="sbb9ee52a"/>
          <w:rFonts w:eastAsiaTheme="majorEastAsia"/>
          <w:b/>
          <w:bCs/>
          <w:color w:val="000000"/>
        </w:rPr>
        <w:t xml:space="preserve"> anticipata</w:t>
      </w:r>
      <w:proofErr w:type="gramEnd"/>
      <w:r w:rsidRPr="004F76E5">
        <w:rPr>
          <w:rStyle w:val="sbb9ee52a"/>
          <w:rFonts w:eastAsiaTheme="majorEastAsia"/>
          <w:color w:val="000000"/>
        </w:rPr>
        <w:t>.</w:t>
      </w:r>
    </w:p>
    <w:p w14:paraId="2C406B74" w14:textId="0921D7D6"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20" w:name="paragraph00030"/>
      <w:r w:rsidRPr="004F76E5">
        <w:rPr>
          <w:rStyle w:val="sbb9ee52a"/>
          <w:rFonts w:eastAsiaTheme="majorEastAsia"/>
          <w:b/>
          <w:bCs/>
          <w:color w:val="000000"/>
        </w:rPr>
        <w:t>30</w:t>
      </w:r>
      <w:bookmarkEnd w:id="20"/>
      <w:r w:rsidRPr="004F76E5">
        <w:rPr>
          <w:rStyle w:val="sbb9ee52a"/>
          <w:rFonts w:eastAsiaTheme="majorEastAsia"/>
          <w:color w:val="000000"/>
        </w:rPr>
        <w:t xml:space="preserve">. Lo stesso giorno il Tribunale </w:t>
      </w:r>
      <w:r w:rsidR="006528D1" w:rsidRPr="004F76E5">
        <w:rPr>
          <w:rStyle w:val="sbb9ee52a"/>
          <w:rFonts w:eastAsiaTheme="majorEastAsia"/>
          <w:color w:val="000000"/>
        </w:rPr>
        <w:t xml:space="preserve">per </w:t>
      </w:r>
      <w:r w:rsidRPr="004F76E5">
        <w:rPr>
          <w:rStyle w:val="sbb9ee52a"/>
          <w:rFonts w:eastAsiaTheme="majorEastAsia"/>
          <w:color w:val="000000"/>
        </w:rPr>
        <w:t xml:space="preserve">i Minori ha dichiarato che la richiesta urgente sarebbe stata </w:t>
      </w:r>
      <w:r w:rsidRPr="004F76E5">
        <w:rPr>
          <w:rStyle w:val="sbb9ee52a"/>
          <w:rFonts w:eastAsiaTheme="majorEastAsia"/>
          <w:b/>
          <w:bCs/>
          <w:color w:val="000000"/>
        </w:rPr>
        <w:t>decisa all'udienza fissata per il 9 maggio 2024</w:t>
      </w:r>
      <w:r w:rsidRPr="004F76E5">
        <w:rPr>
          <w:rStyle w:val="sbb9ee52a"/>
          <w:rFonts w:eastAsiaTheme="majorEastAsia"/>
          <w:color w:val="000000"/>
        </w:rPr>
        <w:t>.</w:t>
      </w:r>
    </w:p>
    <w:p w14:paraId="3E67124A" w14:textId="7261D44D" w:rsidR="00BF0D69" w:rsidRPr="004F76E5" w:rsidRDefault="00BF0D69" w:rsidP="00BF0D69">
      <w:pPr>
        <w:pStyle w:val="s10950c61"/>
        <w:shd w:val="clear" w:color="auto" w:fill="FFFFFF"/>
        <w:spacing w:before="0" w:beforeAutospacing="0" w:after="0" w:afterAutospacing="0"/>
        <w:ind w:firstLine="284"/>
        <w:jc w:val="both"/>
        <w:rPr>
          <w:b/>
          <w:bCs/>
          <w:color w:val="000000"/>
        </w:rPr>
      </w:pPr>
      <w:bookmarkStart w:id="21" w:name="paragraph00031"/>
      <w:r w:rsidRPr="004F76E5">
        <w:rPr>
          <w:rStyle w:val="sbb9ee52a"/>
          <w:rFonts w:eastAsiaTheme="majorEastAsia"/>
          <w:b/>
          <w:bCs/>
          <w:color w:val="000000"/>
        </w:rPr>
        <w:lastRenderedPageBreak/>
        <w:t>31</w:t>
      </w:r>
      <w:bookmarkEnd w:id="21"/>
      <w:r w:rsidRPr="004F76E5">
        <w:rPr>
          <w:rStyle w:val="sbb9ee52a"/>
          <w:rFonts w:eastAsiaTheme="majorEastAsia"/>
          <w:color w:val="000000"/>
        </w:rPr>
        <w:t xml:space="preserve">. Il 1° agosto 2023 gli avvocati del primo richiedente hanno presentato una nuova </w:t>
      </w:r>
      <w:r w:rsidRPr="004F76E5">
        <w:rPr>
          <w:rStyle w:val="sbb9ee52a"/>
          <w:rFonts w:eastAsiaTheme="majorEastAsia"/>
          <w:b/>
          <w:bCs/>
          <w:color w:val="000000"/>
        </w:rPr>
        <w:t>richiesta urgente, accompagnata da una nota dell'Ambasciata francese a Roma che esprimeva preoccupazione per la durata del procedimento, ribadendo le stesse richieste.</w:t>
      </w:r>
    </w:p>
    <w:p w14:paraId="13356FDC" w14:textId="2865F6F9"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22" w:name="paragraph00032"/>
      <w:r w:rsidRPr="004F76E5">
        <w:rPr>
          <w:rStyle w:val="sbb9ee52a"/>
          <w:rFonts w:eastAsiaTheme="majorEastAsia"/>
          <w:b/>
          <w:bCs/>
          <w:color w:val="000000"/>
        </w:rPr>
        <w:t>32</w:t>
      </w:r>
      <w:bookmarkEnd w:id="22"/>
      <w:r w:rsidRPr="004F76E5">
        <w:rPr>
          <w:rStyle w:val="sbb9ee52a"/>
          <w:rFonts w:eastAsiaTheme="majorEastAsia"/>
          <w:color w:val="000000"/>
        </w:rPr>
        <w:t xml:space="preserve">. Con un'ordinanza datata 8 agosto 2023, il Tribunale </w:t>
      </w:r>
      <w:r w:rsidR="006528D1" w:rsidRPr="004F76E5">
        <w:rPr>
          <w:rStyle w:val="sbb9ee52a"/>
          <w:rFonts w:eastAsiaTheme="majorEastAsia"/>
          <w:color w:val="000000"/>
        </w:rPr>
        <w:t xml:space="preserve">per i Minori </w:t>
      </w:r>
      <w:r w:rsidRPr="004F76E5">
        <w:rPr>
          <w:rStyle w:val="sbb9ee52a"/>
          <w:rFonts w:eastAsiaTheme="majorEastAsia"/>
          <w:color w:val="000000"/>
        </w:rPr>
        <w:t>ha accolto la richiesta di viaggio in Francia per il mese di agosto.</w:t>
      </w:r>
    </w:p>
    <w:p w14:paraId="04110FA3" w14:textId="3A13A310" w:rsidR="00BF0D69" w:rsidRPr="004F76E5" w:rsidRDefault="00BF0D69" w:rsidP="00BF0D69">
      <w:pPr>
        <w:pStyle w:val="s10950c61"/>
        <w:shd w:val="clear" w:color="auto" w:fill="FFFFFF"/>
        <w:spacing w:before="0" w:beforeAutospacing="0" w:after="0" w:afterAutospacing="0"/>
        <w:ind w:firstLine="284"/>
        <w:jc w:val="both"/>
        <w:rPr>
          <w:color w:val="000000"/>
        </w:rPr>
      </w:pPr>
      <w:r w:rsidRPr="004F76E5">
        <w:rPr>
          <w:rStyle w:val="sbb9ee52a"/>
          <w:rFonts w:eastAsiaTheme="majorEastAsia"/>
          <w:b/>
          <w:bCs/>
          <w:color w:val="000000"/>
        </w:rPr>
        <w:t>33</w:t>
      </w:r>
      <w:r w:rsidRPr="004F76E5">
        <w:rPr>
          <w:rStyle w:val="sbb9ee52a"/>
          <w:rFonts w:eastAsiaTheme="majorEastAsia"/>
          <w:color w:val="000000"/>
        </w:rPr>
        <w:t xml:space="preserve">. Con nota datata 8 marzo 2024 indirizzata al Comune di Vallesaccarda, il Tribunale </w:t>
      </w:r>
      <w:r w:rsidR="006528D1" w:rsidRPr="004F76E5">
        <w:rPr>
          <w:rStyle w:val="sbb9ee52a"/>
          <w:rFonts w:eastAsiaTheme="majorEastAsia"/>
          <w:color w:val="000000"/>
        </w:rPr>
        <w:t xml:space="preserve">per i Minori </w:t>
      </w:r>
      <w:r w:rsidRPr="004F76E5">
        <w:rPr>
          <w:rStyle w:val="sbb9ee52a"/>
          <w:rFonts w:eastAsiaTheme="majorEastAsia"/>
          <w:color w:val="000000"/>
        </w:rPr>
        <w:t xml:space="preserve">ha dichiarato che se il primo richiedente fosse diventato economicamente indipendente e avesse un alloggio, che </w:t>
      </w:r>
      <w:r w:rsidR="006528D1" w:rsidRPr="004F76E5">
        <w:rPr>
          <w:rStyle w:val="sbb9ee52a"/>
          <w:rFonts w:eastAsiaTheme="majorEastAsia"/>
          <w:color w:val="000000"/>
        </w:rPr>
        <w:t xml:space="preserve">avrebbe potuto </w:t>
      </w:r>
      <w:r w:rsidRPr="004F76E5">
        <w:rPr>
          <w:rStyle w:val="sbb9ee52a"/>
          <w:rFonts w:eastAsiaTheme="majorEastAsia"/>
          <w:color w:val="000000"/>
        </w:rPr>
        <w:t xml:space="preserve">essere </w:t>
      </w:r>
      <w:r w:rsidR="006528D1" w:rsidRPr="004F76E5">
        <w:rPr>
          <w:rStyle w:val="sbb9ee52a"/>
          <w:rFonts w:eastAsiaTheme="majorEastAsia"/>
          <w:color w:val="000000"/>
        </w:rPr>
        <w:t xml:space="preserve">individuato in </w:t>
      </w:r>
      <w:r w:rsidRPr="004F76E5">
        <w:rPr>
          <w:rStyle w:val="sbb9ee52a"/>
          <w:rFonts w:eastAsiaTheme="majorEastAsia"/>
          <w:color w:val="000000"/>
        </w:rPr>
        <w:t xml:space="preserve">un bene appartenente ai nonni materni a Vallesaccarda, allora il tutore del secondo e terzo richiedente </w:t>
      </w:r>
      <w:r w:rsidR="006528D1" w:rsidRPr="004F76E5">
        <w:rPr>
          <w:rStyle w:val="sbb9ee52a"/>
          <w:rFonts w:eastAsiaTheme="majorEastAsia"/>
          <w:color w:val="000000"/>
        </w:rPr>
        <w:t xml:space="preserve">avrebbe potuto </w:t>
      </w:r>
      <w:r w:rsidRPr="004F76E5">
        <w:rPr>
          <w:rStyle w:val="sbb9ee52a"/>
          <w:rFonts w:eastAsiaTheme="majorEastAsia"/>
          <w:color w:val="000000"/>
        </w:rPr>
        <w:t>presentare una domanda per mettere i bambini sotto la cura del primo richiedente al di fuori della struttura protetta.</w:t>
      </w:r>
    </w:p>
    <w:p w14:paraId="1D9182FC" w14:textId="77777777" w:rsidR="00BF0D69" w:rsidRPr="004F76E5" w:rsidRDefault="00BF0D69" w:rsidP="00BF0D69">
      <w:pPr>
        <w:pStyle w:val="s10950c61"/>
        <w:shd w:val="clear" w:color="auto" w:fill="FFFFFF"/>
        <w:spacing w:before="0" w:beforeAutospacing="0" w:after="0" w:afterAutospacing="0"/>
        <w:ind w:firstLine="284"/>
        <w:jc w:val="both"/>
        <w:rPr>
          <w:color w:val="000000"/>
        </w:rPr>
      </w:pPr>
      <w:r w:rsidRPr="004F76E5">
        <w:rPr>
          <w:rStyle w:val="sbb9ee52a"/>
          <w:rFonts w:eastAsiaTheme="majorEastAsia"/>
          <w:b/>
          <w:bCs/>
          <w:color w:val="000000"/>
        </w:rPr>
        <w:t>34</w:t>
      </w:r>
      <w:r w:rsidRPr="004F76E5">
        <w:rPr>
          <w:rStyle w:val="sbb9ee52a"/>
          <w:rFonts w:eastAsiaTheme="majorEastAsia"/>
          <w:color w:val="000000"/>
        </w:rPr>
        <w:t>. In risposta, la prima ricorrente ha dichiarato che non era sua intenzione vivere a Vallesaccarda, che era il villaggio dove risiedevano il suo ex compagno e i suoi genitori, in un alloggio che non le apparteneva e che non aveva riscaldamento, era completamente inadatto e molto lontano dalla scuola dei bambini.</w:t>
      </w:r>
    </w:p>
    <w:p w14:paraId="725ABBCF" w14:textId="39471E94" w:rsidR="00BF0D69" w:rsidRPr="004F76E5" w:rsidRDefault="00BF0D69" w:rsidP="00BF0D69">
      <w:pPr>
        <w:pStyle w:val="s10950c61"/>
        <w:shd w:val="clear" w:color="auto" w:fill="FFFFFF"/>
        <w:spacing w:before="0" w:beforeAutospacing="0" w:after="0" w:afterAutospacing="0"/>
        <w:ind w:firstLine="284"/>
        <w:jc w:val="both"/>
        <w:rPr>
          <w:color w:val="000000"/>
        </w:rPr>
      </w:pPr>
      <w:bookmarkStart w:id="23" w:name="paragraph00035"/>
      <w:r w:rsidRPr="004F76E5">
        <w:rPr>
          <w:rStyle w:val="sbb9ee52a"/>
          <w:rFonts w:eastAsiaTheme="majorEastAsia"/>
          <w:b/>
          <w:bCs/>
          <w:color w:val="000000"/>
        </w:rPr>
        <w:t>35</w:t>
      </w:r>
      <w:bookmarkEnd w:id="23"/>
      <w:r w:rsidRPr="004F76E5">
        <w:rPr>
          <w:rStyle w:val="sbb9ee52a"/>
          <w:rFonts w:eastAsiaTheme="majorEastAsia"/>
          <w:color w:val="000000"/>
        </w:rPr>
        <w:t xml:space="preserve">. Con una decisione del 9 maggio 2024, il Tribunale dei Minori ha privato il </w:t>
      </w:r>
      <w:r w:rsidR="006528D1" w:rsidRPr="004F76E5">
        <w:rPr>
          <w:rStyle w:val="sbb9ee52a"/>
          <w:rFonts w:eastAsiaTheme="majorEastAsia"/>
          <w:color w:val="000000"/>
        </w:rPr>
        <w:t>GP</w:t>
      </w:r>
      <w:r w:rsidRPr="004F76E5">
        <w:rPr>
          <w:rStyle w:val="sbb9ee52a"/>
          <w:rFonts w:eastAsiaTheme="majorEastAsia"/>
          <w:color w:val="000000"/>
        </w:rPr>
        <w:t xml:space="preserve"> della sua responsabilità genitoriale. Non è stata presa alcuna decisione sulla richiesta del primo richiedente di essere autorizzato a lasciare il rifugio protetto per vittime di violenza domestica e a stabilirsi in Francia. Non è stata nemmeno presa una decisione sulle richieste di mantenimento dei figli e affidamento esclusivo. Tuttavia, secondo la decisione, i richiedenti dovevano essere monitorati dal dipartimento dei servizi sociali competente, "</w:t>
      </w:r>
      <w:r w:rsidRPr="004F76E5">
        <w:rPr>
          <w:rStyle w:val="sbb9ee52a"/>
          <w:rFonts w:eastAsiaTheme="majorEastAsia"/>
          <w:i/>
          <w:iCs/>
          <w:color w:val="000000"/>
        </w:rPr>
        <w:t>che continuerà a implementare tutte le misure in corso e eventuali ulteriori interventi che potrebbero diventare necessari per il</w:t>
      </w:r>
      <w:r w:rsidRPr="004F76E5">
        <w:rPr>
          <w:i/>
          <w:iCs/>
          <w:color w:val="000000"/>
        </w:rPr>
        <w:t> </w:t>
      </w:r>
      <w:r w:rsidRPr="004F76E5">
        <w:rPr>
          <w:rStyle w:val="sbb9ee52a"/>
          <w:rFonts w:eastAsiaTheme="majorEastAsia"/>
          <w:i/>
          <w:iCs/>
          <w:color w:val="000000"/>
        </w:rPr>
        <w:t>benessere psicofisico</w:t>
      </w:r>
      <w:r w:rsidRPr="004F76E5">
        <w:rPr>
          <w:i/>
          <w:iCs/>
          <w:color w:val="000000"/>
        </w:rPr>
        <w:t> </w:t>
      </w:r>
      <w:r w:rsidRPr="004F76E5">
        <w:rPr>
          <w:rStyle w:val="sbb9ee52a"/>
          <w:rFonts w:eastAsiaTheme="majorEastAsia"/>
          <w:i/>
          <w:iCs/>
          <w:color w:val="000000"/>
        </w:rPr>
        <w:t>dei minori</w:t>
      </w:r>
      <w:r w:rsidRPr="004F76E5">
        <w:rPr>
          <w:rStyle w:val="sbb9ee52a"/>
          <w:rFonts w:eastAsiaTheme="majorEastAsia"/>
          <w:color w:val="000000"/>
        </w:rPr>
        <w:t>."</w:t>
      </w:r>
    </w:p>
    <w:p w14:paraId="1DE3F23B" w14:textId="77777777" w:rsidR="00BF0D69" w:rsidRPr="004F76E5" w:rsidRDefault="00BF0D69" w:rsidP="00BF0D69">
      <w:pPr>
        <w:pStyle w:val="s10950c61"/>
        <w:shd w:val="clear" w:color="auto" w:fill="FFFFFF"/>
        <w:spacing w:before="0" w:beforeAutospacing="0" w:after="0" w:afterAutospacing="0"/>
        <w:ind w:firstLine="284"/>
        <w:jc w:val="both"/>
        <w:rPr>
          <w:rStyle w:val="sbb9ee52a"/>
          <w:rFonts w:eastAsiaTheme="majorEastAsia"/>
          <w:color w:val="000000"/>
        </w:rPr>
      </w:pPr>
      <w:r w:rsidRPr="004F76E5">
        <w:rPr>
          <w:rStyle w:val="sbb9ee52a"/>
          <w:rFonts w:eastAsiaTheme="majorEastAsia"/>
          <w:b/>
          <w:bCs/>
          <w:color w:val="000000"/>
        </w:rPr>
        <w:t>36</w:t>
      </w:r>
      <w:r w:rsidRPr="004F76E5">
        <w:rPr>
          <w:rStyle w:val="sbb9ee52a"/>
          <w:rFonts w:eastAsiaTheme="majorEastAsia"/>
          <w:color w:val="000000"/>
        </w:rPr>
        <w:t>. I richiedenti hanno lasciato il rifugio l'8 luglio 2024</w:t>
      </w:r>
    </w:p>
    <w:p w14:paraId="3601BF03" w14:textId="77777777" w:rsidR="00B965BE" w:rsidRPr="004F76E5" w:rsidRDefault="00B965BE" w:rsidP="00BF0D69">
      <w:pPr>
        <w:pStyle w:val="s10950c61"/>
        <w:shd w:val="clear" w:color="auto" w:fill="FFFFFF"/>
        <w:spacing w:before="0" w:beforeAutospacing="0" w:after="0" w:afterAutospacing="0"/>
        <w:ind w:firstLine="284"/>
        <w:jc w:val="both"/>
        <w:rPr>
          <w:rStyle w:val="sbb9ee52a"/>
          <w:rFonts w:eastAsiaTheme="majorEastAsia"/>
          <w:color w:val="000000"/>
        </w:rPr>
      </w:pPr>
    </w:p>
    <w:p w14:paraId="188727F7" w14:textId="77777777" w:rsidR="00B965BE" w:rsidRPr="004F76E5" w:rsidRDefault="00B965BE" w:rsidP="00BF0D69">
      <w:pPr>
        <w:pStyle w:val="s10950c61"/>
        <w:shd w:val="clear" w:color="auto" w:fill="FFFFFF"/>
        <w:spacing w:before="0" w:beforeAutospacing="0" w:after="0" w:afterAutospacing="0"/>
        <w:ind w:firstLine="284"/>
        <w:jc w:val="both"/>
        <w:rPr>
          <w:color w:val="000000"/>
        </w:rPr>
      </w:pPr>
    </w:p>
    <w:p w14:paraId="333097D3" w14:textId="77777777" w:rsidR="00B965BE" w:rsidRPr="004F76E5" w:rsidRDefault="00B965BE" w:rsidP="00B965BE">
      <w:pPr>
        <w:numPr>
          <w:ilvl w:val="0"/>
          <w:numId w:val="2"/>
        </w:numPr>
        <w:shd w:val="clear" w:color="auto" w:fill="FFFFFF"/>
        <w:spacing w:before="280" w:after="240" w:line="240" w:lineRule="auto"/>
        <w:jc w:val="both"/>
        <w:rPr>
          <w:rFonts w:ascii="Times New Roman" w:eastAsia="Times New Roman" w:hAnsi="Times New Roman" w:cs="Times New Roman"/>
          <w:b/>
          <w:bCs/>
          <w:caps/>
          <w:color w:val="000000"/>
          <w:kern w:val="0"/>
          <w:sz w:val="28"/>
          <w:szCs w:val="28"/>
          <w:lang w:eastAsia="it-IT"/>
          <w14:ligatures w14:val="none"/>
        </w:rPr>
      </w:pPr>
      <w:r w:rsidRPr="004F76E5">
        <w:rPr>
          <w:rFonts w:ascii="Times New Roman" w:eastAsia="Times New Roman" w:hAnsi="Times New Roman" w:cs="Times New Roman"/>
          <w:b/>
          <w:bCs/>
          <w:caps/>
          <w:color w:val="000000"/>
          <w:kern w:val="0"/>
          <w:sz w:val="28"/>
          <w:szCs w:val="28"/>
          <w:lang w:eastAsia="it-IT"/>
          <w14:ligatures w14:val="none"/>
        </w:rPr>
        <w:t>QUADRO GIURIDICO RILEVANTE</w:t>
      </w:r>
    </w:p>
    <w:p w14:paraId="5E6759C6" w14:textId="77777777" w:rsidR="003A24D7" w:rsidRPr="004F76E5" w:rsidRDefault="003A24D7" w:rsidP="00B965BE">
      <w:pPr>
        <w:shd w:val="clear" w:color="auto" w:fill="FFFFFF"/>
        <w:spacing w:after="240" w:line="240" w:lineRule="auto"/>
        <w:ind w:left="357" w:hanging="357"/>
        <w:jc w:val="both"/>
        <w:rPr>
          <w:rFonts w:ascii="Times New Roman" w:eastAsia="Times New Roman" w:hAnsi="Times New Roman" w:cs="Times New Roman"/>
          <w:b/>
          <w:bCs/>
          <w:caps/>
          <w:color w:val="000000"/>
          <w:kern w:val="0"/>
          <w:lang w:eastAsia="it-IT"/>
          <w14:ligatures w14:val="none"/>
        </w:rPr>
      </w:pPr>
    </w:p>
    <w:p w14:paraId="6A3D3944" w14:textId="5C3E559D" w:rsidR="00B965BE" w:rsidRPr="004F76E5" w:rsidRDefault="00B965BE" w:rsidP="00B965BE">
      <w:pPr>
        <w:shd w:val="clear" w:color="auto" w:fill="FFFFFF"/>
        <w:spacing w:after="240" w:line="240" w:lineRule="auto"/>
        <w:ind w:left="357" w:hanging="357"/>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I.</w:t>
      </w:r>
      <w:r w:rsidRPr="004F76E5">
        <w:rPr>
          <w:rFonts w:ascii="Times New Roman" w:eastAsia="Times New Roman" w:hAnsi="Times New Roman" w:cs="Times New Roman"/>
          <w:b/>
          <w:bCs/>
          <w:color w:val="000000"/>
          <w:kern w:val="0"/>
          <w:lang w:eastAsia="it-IT"/>
          <w14:ligatures w14:val="none"/>
        </w:rPr>
        <w:t> </w:t>
      </w:r>
      <w:r w:rsidRPr="004F76E5">
        <w:rPr>
          <w:rFonts w:ascii="Times New Roman" w:eastAsia="Times New Roman" w:hAnsi="Times New Roman" w:cs="Times New Roman"/>
          <w:b/>
          <w:bCs/>
          <w:caps/>
          <w:color w:val="000000"/>
          <w:kern w:val="0"/>
          <w:lang w:eastAsia="it-IT"/>
          <w14:ligatures w14:val="none"/>
        </w:rPr>
        <w:t>QUADRO GIURIDICO E PRASSI NAZIONALI</w:t>
      </w:r>
      <w:r w:rsidRPr="004F76E5">
        <w:rPr>
          <w:rFonts w:ascii="Times New Roman" w:eastAsia="Times New Roman" w:hAnsi="Times New Roman" w:cs="Times New Roman"/>
          <w:b/>
          <w:bCs/>
          <w:color w:val="000000"/>
          <w:kern w:val="0"/>
          <w:sz w:val="14"/>
          <w:szCs w:val="14"/>
          <w:lang w:eastAsia="it-IT"/>
          <w14:ligatures w14:val="none"/>
        </w:rPr>
        <w:t>       </w:t>
      </w:r>
    </w:p>
    <w:p w14:paraId="49CAC7B6" w14:textId="77777777" w:rsidR="00B965BE" w:rsidRPr="004F76E5" w:rsidRDefault="00B965BE" w:rsidP="00B965BE">
      <w:pPr>
        <w:shd w:val="clear" w:color="auto" w:fill="FFFFFF"/>
        <w:spacing w:after="240" w:line="240" w:lineRule="auto"/>
        <w:ind w:left="584" w:hanging="352"/>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R. Quadro</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b/>
          <w:bCs/>
          <w:color w:val="000000"/>
          <w:kern w:val="0"/>
          <w:lang w:eastAsia="it-IT"/>
          <w14:ligatures w14:val="none"/>
        </w:rPr>
        <w:t>giuridico</w:t>
      </w:r>
      <w:r w:rsidRPr="004F76E5">
        <w:rPr>
          <w:rFonts w:ascii="Times New Roman" w:eastAsia="Times New Roman" w:hAnsi="Times New Roman" w:cs="Times New Roman"/>
          <w:color w:val="000000"/>
          <w:kern w:val="0"/>
          <w:sz w:val="14"/>
          <w:szCs w:val="14"/>
          <w:lang w:eastAsia="it-IT"/>
          <w14:ligatures w14:val="none"/>
        </w:rPr>
        <w:t>   </w:t>
      </w:r>
    </w:p>
    <w:p w14:paraId="035C5B13"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37</w:t>
      </w:r>
      <w:r w:rsidRPr="004F76E5">
        <w:rPr>
          <w:rFonts w:ascii="Times New Roman" w:eastAsia="Times New Roman" w:hAnsi="Times New Roman" w:cs="Times New Roman"/>
          <w:color w:val="000000"/>
          <w:kern w:val="0"/>
          <w:lang w:eastAsia="it-IT"/>
          <w14:ligatures w14:val="none"/>
        </w:rPr>
        <w:t>. Le disposizioni rilevanti del Codice Penale e del Codice di Procedura Penale sono stabilite in </w:t>
      </w:r>
      <w:r w:rsidRPr="004F76E5">
        <w:rPr>
          <w:rFonts w:ascii="Times New Roman" w:eastAsia="Times New Roman" w:hAnsi="Times New Roman" w:cs="Times New Roman"/>
          <w:i/>
          <w:iCs/>
          <w:color w:val="000000"/>
          <w:kern w:val="0"/>
          <w:lang w:eastAsia="it-IT"/>
          <w14:ligatures w14:val="none"/>
        </w:rPr>
        <w:t>Landi contro Italia </w:t>
      </w:r>
      <w:r w:rsidRPr="004F76E5">
        <w:rPr>
          <w:rFonts w:ascii="Times New Roman" w:eastAsia="Times New Roman" w:hAnsi="Times New Roman" w:cs="Times New Roman"/>
          <w:color w:val="000000"/>
          <w:kern w:val="0"/>
          <w:lang w:eastAsia="it-IT"/>
          <w14:ligatures w14:val="none"/>
        </w:rPr>
        <w:t>(n. </w:t>
      </w:r>
      <w:hyperlink r:id="rId7" w:anchor="{%22appno%22:[%2210929/19%22]}" w:tgtFrame="_blank" w:history="1">
        <w:r w:rsidRPr="004F76E5">
          <w:rPr>
            <w:rFonts w:ascii="Times New Roman" w:eastAsia="Times New Roman" w:hAnsi="Times New Roman" w:cs="Times New Roman"/>
            <w:color w:val="0069D6"/>
            <w:kern w:val="0"/>
            <w:u w:val="single"/>
            <w:lang w:eastAsia="it-IT"/>
            <w14:ligatures w14:val="none"/>
          </w:rPr>
          <w:t>10929/19</w:t>
        </w:r>
      </w:hyperlink>
      <w:r w:rsidRPr="004F76E5">
        <w:rPr>
          <w:rFonts w:ascii="Times New Roman" w:eastAsia="Times New Roman" w:hAnsi="Times New Roman" w:cs="Times New Roman"/>
          <w:color w:val="000000"/>
          <w:kern w:val="0"/>
          <w:lang w:eastAsia="it-IT"/>
          <w14:ligatures w14:val="none"/>
        </w:rPr>
        <w:t>, §§ 47-48, 7 aprile 2022) e </w:t>
      </w:r>
      <w:r w:rsidRPr="004F76E5">
        <w:rPr>
          <w:rFonts w:ascii="Times New Roman" w:eastAsia="Times New Roman" w:hAnsi="Times New Roman" w:cs="Times New Roman"/>
          <w:i/>
          <w:iCs/>
          <w:color w:val="000000"/>
          <w:kern w:val="0"/>
          <w:lang w:eastAsia="it-IT"/>
          <w14:ligatures w14:val="none"/>
        </w:rPr>
        <w:t>De Giorgi contro Italia </w:t>
      </w:r>
      <w:r w:rsidRPr="004F76E5">
        <w:rPr>
          <w:rFonts w:ascii="Times New Roman" w:eastAsia="Times New Roman" w:hAnsi="Times New Roman" w:cs="Times New Roman"/>
          <w:color w:val="000000"/>
          <w:kern w:val="0"/>
          <w:lang w:eastAsia="it-IT"/>
          <w14:ligatures w14:val="none"/>
        </w:rPr>
        <w:t>(n. </w:t>
      </w:r>
      <w:hyperlink r:id="rId8" w:anchor="{%22appno%22:[%2223735/19%22]}" w:tgtFrame="_blank" w:history="1">
        <w:r w:rsidRPr="004F76E5">
          <w:rPr>
            <w:rFonts w:ascii="Times New Roman" w:eastAsia="Times New Roman" w:hAnsi="Times New Roman" w:cs="Times New Roman"/>
            <w:color w:val="0069D6"/>
            <w:kern w:val="0"/>
            <w:u w:val="single"/>
            <w:lang w:eastAsia="it-IT"/>
            <w14:ligatures w14:val="none"/>
          </w:rPr>
          <w:t>23735/19</w:t>
        </w:r>
      </w:hyperlink>
      <w:r w:rsidRPr="004F76E5">
        <w:rPr>
          <w:rFonts w:ascii="Times New Roman" w:eastAsia="Times New Roman" w:hAnsi="Times New Roman" w:cs="Times New Roman"/>
          <w:color w:val="000000"/>
          <w:kern w:val="0"/>
          <w:lang w:eastAsia="it-IT"/>
          <w14:ligatures w14:val="none"/>
        </w:rPr>
        <w:t>, §§ 36-37, 16 giugno 2022).</w:t>
      </w:r>
    </w:p>
    <w:p w14:paraId="091EA619"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38</w:t>
      </w:r>
      <w:r w:rsidRPr="004F76E5">
        <w:rPr>
          <w:rFonts w:ascii="Times New Roman" w:eastAsia="Times New Roman" w:hAnsi="Times New Roman" w:cs="Times New Roman"/>
          <w:color w:val="000000"/>
          <w:kern w:val="0"/>
          <w:lang w:eastAsia="it-IT"/>
          <w14:ligatures w14:val="none"/>
        </w:rPr>
        <w:t>. Inoltre, a seguito dell'adozione della Legge n. 38 del 23 aprile 2009, Legge n. 119 del 15 ottobre 2013 (piano d'azione straordinario per combattere la violenza contro le donne) e la Legge n. 69 del 19 luglio 2019 ("Codice Rosso"), è stata aggiunta al Codice Penale la seguente disposizione:</w:t>
      </w:r>
    </w:p>
    <w:p w14:paraId="77D6B76A" w14:textId="77777777" w:rsidR="00B965BE" w:rsidRPr="004F76E5" w:rsidRDefault="00B965BE" w:rsidP="00B965BE">
      <w:pPr>
        <w:shd w:val="clear" w:color="auto" w:fill="FFFFFF"/>
        <w:spacing w:before="280" w:after="120" w:line="240" w:lineRule="auto"/>
        <w:jc w:val="center"/>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Articolo 609 </w:t>
      </w:r>
      <w:r w:rsidRPr="004F76E5">
        <w:rPr>
          <w:rFonts w:ascii="Times New Roman" w:eastAsia="Times New Roman" w:hAnsi="Times New Roman" w:cs="Times New Roman"/>
          <w:b/>
          <w:bCs/>
          <w:i/>
          <w:iCs/>
          <w:color w:val="000000"/>
          <w:kern w:val="0"/>
          <w:sz w:val="20"/>
          <w:szCs w:val="20"/>
          <w:lang w:eastAsia="it-IT"/>
          <w14:ligatures w14:val="none"/>
        </w:rPr>
        <w:t>bis</w:t>
      </w:r>
      <w:r w:rsidRPr="004F76E5">
        <w:rPr>
          <w:rFonts w:ascii="Times New Roman" w:eastAsia="Times New Roman" w:hAnsi="Times New Roman" w:cs="Times New Roman"/>
          <w:b/>
          <w:bCs/>
          <w:color w:val="000000"/>
          <w:kern w:val="0"/>
          <w:sz w:val="20"/>
          <w:szCs w:val="20"/>
          <w:lang w:eastAsia="it-IT"/>
          <w14:ligatures w14:val="none"/>
        </w:rPr>
        <w:t> – Violenza sessuale</w:t>
      </w:r>
    </w:p>
    <w:p w14:paraId="03474F67"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color w:val="000000"/>
          <w:kern w:val="0"/>
          <w:sz w:val="20"/>
          <w:szCs w:val="20"/>
          <w:lang w:eastAsia="it-IT"/>
          <w14:ligatures w14:val="none"/>
        </w:rPr>
        <w:t>"</w:t>
      </w:r>
      <w:r w:rsidRPr="004F76E5">
        <w:rPr>
          <w:rFonts w:ascii="Times New Roman" w:eastAsia="Times New Roman" w:hAnsi="Times New Roman" w:cs="Times New Roman"/>
          <w:i/>
          <w:iCs/>
          <w:color w:val="000000"/>
          <w:kern w:val="0"/>
          <w:sz w:val="20"/>
          <w:szCs w:val="20"/>
          <w:lang w:eastAsia="it-IT"/>
          <w14:ligatures w14:val="none"/>
        </w:rPr>
        <w:t>Chiunque, attraverso violenza, minacce o abuso di autorità, costringa qualcuno a compiere o a sottoporsi ad atti sessuali sarà punito con la reclusione per una pena compresa tra 6 e 12 anni.</w:t>
      </w:r>
    </w:p>
    <w:p w14:paraId="61BDD97D"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 La stessa pena si applica a chiunque induca qualcuno a compiere o sottoporsi ad atti sessuali: (1) abusando dell'inferiorità fisica o mentale della vittima al momento del reato; oppure (2) ingannando la vittima spacciandosi per un'altra persona.</w:t>
      </w:r>
    </w:p>
    <w:p w14:paraId="4B4D7DA8"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 Nei casi meno gravi, la pena sarà ridotta di non più di due terzi."</w:t>
      </w:r>
    </w:p>
    <w:p w14:paraId="76DA806D"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39</w:t>
      </w:r>
      <w:r w:rsidRPr="004F76E5">
        <w:rPr>
          <w:rFonts w:ascii="Times New Roman" w:eastAsia="Times New Roman" w:hAnsi="Times New Roman" w:cs="Times New Roman"/>
          <w:color w:val="000000"/>
          <w:kern w:val="0"/>
          <w:lang w:eastAsia="it-IT"/>
          <w14:ligatures w14:val="none"/>
        </w:rPr>
        <w:t>. Le disposizioni rilevanti del Codice Civile in materia di diritti genitoriali sono stabilite in </w:t>
      </w:r>
      <w:bookmarkStart w:id="24" w:name="_cl45046THEFACTS"/>
      <w:proofErr w:type="spellStart"/>
      <w:r w:rsidRPr="004F76E5">
        <w:rPr>
          <w:rFonts w:ascii="Times New Roman" w:eastAsia="Times New Roman" w:hAnsi="Times New Roman" w:cs="Times New Roman"/>
          <w:i/>
          <w:iCs/>
          <w:color w:val="000000"/>
          <w:kern w:val="0"/>
          <w:lang w:eastAsia="it-IT"/>
          <w14:ligatures w14:val="none"/>
        </w:rPr>
        <w:t>Scuderoni</w:t>
      </w:r>
      <w:proofErr w:type="spellEnd"/>
      <w:r w:rsidRPr="004F76E5">
        <w:rPr>
          <w:rFonts w:ascii="Times New Roman" w:eastAsia="Times New Roman" w:hAnsi="Times New Roman" w:cs="Times New Roman"/>
          <w:i/>
          <w:iCs/>
          <w:color w:val="000000"/>
          <w:kern w:val="0"/>
          <w:lang w:eastAsia="it-IT"/>
          <w14:ligatures w14:val="none"/>
        </w:rPr>
        <w:t xml:space="preserve"> contro Italia</w:t>
      </w:r>
      <w:bookmarkEnd w:id="24"/>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(n. </w:t>
      </w:r>
      <w:hyperlink r:id="rId9" w:anchor="{%22appno%22:[%226045/24%22]}" w:tgtFrame="_blank" w:history="1">
        <w:r w:rsidRPr="004F76E5">
          <w:rPr>
            <w:rFonts w:ascii="Times New Roman" w:eastAsia="Times New Roman" w:hAnsi="Times New Roman" w:cs="Times New Roman"/>
            <w:color w:val="0069D6"/>
            <w:kern w:val="0"/>
            <w:u w:val="single"/>
            <w:lang w:eastAsia="it-IT"/>
            <w14:ligatures w14:val="none"/>
          </w:rPr>
          <w:t>6045/24</w:t>
        </w:r>
      </w:hyperlink>
      <w:r w:rsidRPr="004F76E5">
        <w:rPr>
          <w:rFonts w:ascii="Times New Roman" w:eastAsia="Times New Roman" w:hAnsi="Times New Roman" w:cs="Times New Roman"/>
          <w:color w:val="000000"/>
          <w:kern w:val="0"/>
          <w:lang w:eastAsia="it-IT"/>
          <w14:ligatures w14:val="none"/>
        </w:rPr>
        <w:t>, §§ 51-53, 23 settembre 2025).</w:t>
      </w:r>
    </w:p>
    <w:p w14:paraId="377DD31A"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40</w:t>
      </w:r>
      <w:r w:rsidRPr="004F76E5">
        <w:rPr>
          <w:rFonts w:ascii="Times New Roman" w:eastAsia="Times New Roman" w:hAnsi="Times New Roman" w:cs="Times New Roman"/>
          <w:color w:val="000000"/>
          <w:kern w:val="0"/>
          <w:lang w:eastAsia="it-IT"/>
          <w14:ligatures w14:val="none"/>
        </w:rPr>
        <w:t>. Inoltre, il Codice Civile contiene le seguenti disposizioni:</w:t>
      </w:r>
    </w:p>
    <w:p w14:paraId="71186FDF" w14:textId="77777777" w:rsidR="00B965BE" w:rsidRPr="004F76E5" w:rsidRDefault="00B965BE" w:rsidP="00B965BE">
      <w:pPr>
        <w:shd w:val="clear" w:color="auto" w:fill="FFFFFF"/>
        <w:spacing w:before="280" w:after="120" w:line="240" w:lineRule="auto"/>
        <w:jc w:val="center"/>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lastRenderedPageBreak/>
        <w:t>Articolo 330 – Ritiro della responsabilità genitoriale su un minore</w:t>
      </w:r>
    </w:p>
    <w:p w14:paraId="5188BFA3"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"Il giudice può ordinare la revoca della responsabilità genitoriale quando un genitore viola o trascura gli obblighi insiti nel suo ruolo genitoriale o abusa dei poteri ad esso connessi, causando così gravi danni al minore.</w:t>
      </w:r>
    </w:p>
    <w:p w14:paraId="062CB359"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 In tali casi, per motivi gravi, il giudice può ordinare la rimozione del bambino dalla casa di famiglia o la rimozione del genitore o del partner convivente che ha maltrattato o abusato del minore."</w:t>
      </w:r>
    </w:p>
    <w:p w14:paraId="7BE91CB8" w14:textId="77777777" w:rsidR="00B965BE" w:rsidRPr="004F76E5" w:rsidRDefault="00B965BE" w:rsidP="00B965BE">
      <w:pPr>
        <w:shd w:val="clear" w:color="auto" w:fill="FFFFFF"/>
        <w:spacing w:before="280" w:after="120" w:line="240" w:lineRule="auto"/>
        <w:jc w:val="center"/>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Articolo 333 – Condotta genitoriale dannosa verso un bambino</w:t>
      </w:r>
    </w:p>
    <w:p w14:paraId="38FFB24F"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color w:val="000000"/>
          <w:kern w:val="0"/>
          <w:sz w:val="20"/>
          <w:szCs w:val="20"/>
          <w:lang w:eastAsia="it-IT"/>
          <w14:ligatures w14:val="none"/>
        </w:rPr>
        <w:t>"</w:t>
      </w:r>
      <w:r w:rsidRPr="004F76E5">
        <w:rPr>
          <w:rFonts w:ascii="Times New Roman" w:eastAsia="Times New Roman" w:hAnsi="Times New Roman" w:cs="Times New Roman"/>
          <w:i/>
          <w:iCs/>
          <w:color w:val="000000"/>
          <w:kern w:val="0"/>
          <w:sz w:val="20"/>
          <w:szCs w:val="20"/>
          <w:lang w:eastAsia="it-IT"/>
          <w14:ligatures w14:val="none"/>
        </w:rPr>
        <w:t>Quando il comportamento di uno o entrambi i genitori non giustifica la rimozione della responsabilità genitoriale ai sensi dell'articolo 330, ma è comunque dannoso per il minore, il giudice, a seconda delle circostanze, può adottare le misure appropriate e può persino ordinare la rimozione del minore dalla casa di famiglia o la rimozione del genitore o del partner convivente che ha maltrattato o abusato del minore.</w:t>
      </w:r>
    </w:p>
    <w:p w14:paraId="44685717"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Queste misure possono essere revocate in qualsiasi momento (Articolo 742 del Codice di Procedura Civile</w:t>
      </w:r>
      <w:r w:rsidRPr="004F76E5">
        <w:rPr>
          <w:rFonts w:ascii="Times New Roman" w:eastAsia="Times New Roman" w:hAnsi="Times New Roman" w:cs="Times New Roman"/>
          <w:color w:val="000000"/>
          <w:kern w:val="0"/>
          <w:sz w:val="20"/>
          <w:szCs w:val="20"/>
          <w:lang w:eastAsia="it-IT"/>
          <w14:ligatures w14:val="none"/>
        </w:rPr>
        <w:t>)."</w:t>
      </w:r>
    </w:p>
    <w:p w14:paraId="71E1F7C0" w14:textId="77777777" w:rsidR="00B965BE" w:rsidRPr="004F76E5" w:rsidRDefault="00B965BE" w:rsidP="00B965BE">
      <w:pPr>
        <w:shd w:val="clear" w:color="auto" w:fill="FFFFFF"/>
        <w:spacing w:before="280" w:after="120" w:line="240" w:lineRule="auto"/>
        <w:jc w:val="center"/>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Articolo 337 </w:t>
      </w:r>
      <w:r w:rsidRPr="004F76E5">
        <w:rPr>
          <w:rFonts w:ascii="Times New Roman" w:eastAsia="Times New Roman" w:hAnsi="Times New Roman" w:cs="Times New Roman"/>
          <w:b/>
          <w:bCs/>
          <w:i/>
          <w:iCs/>
          <w:color w:val="000000"/>
          <w:kern w:val="0"/>
          <w:sz w:val="20"/>
          <w:szCs w:val="20"/>
          <w:lang w:eastAsia="it-IT"/>
          <w14:ligatures w14:val="none"/>
        </w:rPr>
        <w:t>trimestre</w:t>
      </w:r>
      <w:r w:rsidRPr="004F76E5">
        <w:rPr>
          <w:rFonts w:ascii="Times New Roman" w:eastAsia="Times New Roman" w:hAnsi="Times New Roman" w:cs="Times New Roman"/>
          <w:b/>
          <w:bCs/>
          <w:color w:val="000000"/>
          <w:kern w:val="0"/>
          <w:sz w:val="20"/>
          <w:szCs w:val="20"/>
          <w:lang w:eastAsia="it-IT"/>
          <w14:ligatures w14:val="none"/>
        </w:rPr>
        <w:t> – Affidamento esclusivo di un genitore</w:t>
      </w:r>
    </w:p>
    <w:p w14:paraId="04EA7E42"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color w:val="000000"/>
          <w:kern w:val="0"/>
          <w:sz w:val="20"/>
          <w:szCs w:val="20"/>
          <w:lang w:eastAsia="it-IT"/>
          <w14:ligatures w14:val="none"/>
        </w:rPr>
        <w:t>"</w:t>
      </w:r>
      <w:r w:rsidRPr="004F76E5">
        <w:rPr>
          <w:rFonts w:ascii="Times New Roman" w:eastAsia="Times New Roman" w:hAnsi="Times New Roman" w:cs="Times New Roman"/>
          <w:i/>
          <w:iCs/>
          <w:color w:val="000000"/>
          <w:kern w:val="0"/>
          <w:sz w:val="20"/>
          <w:szCs w:val="20"/>
          <w:lang w:eastAsia="it-IT"/>
          <w14:ligatures w14:val="none"/>
        </w:rPr>
        <w:t>Il giudice può ordinare che il bambino sia affidato esclusivamente a uno dei genitori qualora, con una decisione ragionata, ritenga che il collocamento con l'altro genitore sarebbe contrario al superiore interesse del minore.</w:t>
      </w:r>
    </w:p>
    <w:p w14:paraId="32FA670B"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 Entrambi i genitori può, in qualsiasi momento, richiedere l'affidamento esclusivo se sono soddisfatte le condizioni menzionate nel primo paragrafo. Se il giudice concede la domanda, ordinerà la custodia esclusiva al genitore richiedente, tutelando, per quanto possibile, i diritti del minore previsti dal primo comma dell'articolo 337 ter. Quando la domanda è manifestamente infondata, il giudice può tenere conto della condotta del genitore richiedente nel determinare le misure da adottare nell'interesse del minore, senza pregiudizio dell'applicazione dell'articolo 96 del Codice di Procedura Civile.</w:t>
      </w:r>
    </w:p>
    <w:p w14:paraId="4B4FEC42"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 Il genitore a cui il minore è affidato in custodia esclusiva dovrai, salvo diversa disposizione del giudice, esercitare la responsabilità esclusiva dei genitori su di lui o lei e rispettare le condizioni stabilite dal giudice. Salvo diversa disposizione, le decisioni di grande importanza riguardanti il bambino devono essere prese da entrambi i genitori. Il genitore a cui il bambino non è affidato ha il diritto e l'obbligo di supervisionare la sua istruzione e educazione e può rivolgersi al giudice quando ritiene che siano state prese decisioni pregiudizievoli per gli interessi del minore."</w:t>
      </w:r>
    </w:p>
    <w:p w14:paraId="7CCE0D7A" w14:textId="77777777" w:rsidR="003A24D7" w:rsidRPr="004F76E5" w:rsidRDefault="003A24D7" w:rsidP="00B965BE">
      <w:pPr>
        <w:shd w:val="clear" w:color="auto" w:fill="FFFFFF"/>
        <w:spacing w:after="0" w:line="240" w:lineRule="auto"/>
        <w:ind w:firstLine="284"/>
        <w:jc w:val="both"/>
        <w:rPr>
          <w:rFonts w:ascii="Times New Roman" w:eastAsia="Times New Roman" w:hAnsi="Times New Roman" w:cs="Times New Roman"/>
          <w:b/>
          <w:bCs/>
          <w:color w:val="000000"/>
          <w:kern w:val="0"/>
          <w:lang w:eastAsia="it-IT"/>
          <w14:ligatures w14:val="none"/>
        </w:rPr>
      </w:pPr>
    </w:p>
    <w:p w14:paraId="542782F5" w14:textId="20050CF0"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41.</w:t>
      </w:r>
      <w:r w:rsidRPr="004F76E5">
        <w:rPr>
          <w:rFonts w:ascii="Times New Roman" w:eastAsia="Times New Roman" w:hAnsi="Times New Roman" w:cs="Times New Roman"/>
          <w:color w:val="000000"/>
          <w:kern w:val="0"/>
          <w:lang w:eastAsia="it-IT"/>
          <w14:ligatures w14:val="none"/>
        </w:rPr>
        <w:t> Le regole che regolano le questioni familiari e i diritti di visita o affidamento sono state sostanzialmente riviste a seguito dell'adozione del Decreto Legislativo n. 149/2022, applicabile ai procedimenti avviati dal 1° marzo 2023. Il decreto, emanato per migliorare l'efficienza e la rapidità dei procedimenti civili, ha introdotto una sezione dedicata nel Codice di Procedura Civile che affronta i casi che coinvolgono accuse di violenza domestica o di genere. In linea con la Convenzione sulla Prevenzione e la Lotta contro la Violenza contro le Donne e la Violenza Domestica ("la Convenzione di Istanbul"), il decreto copre tutte le forme di violenza fisica, economica o psicologica commessa da una parte contro l'altra o contro i bambini. Quando si denuncia violenza domestica, si applica una procedura prioritaria (articolo 473 bis.40 e seguenti del Codice di Procedura Civile), e il giudice può dimezzare i limiti di tempo procedurali assicurando che tutti i passaggi procedurali necessari vengano completati senza ritardo (articolo 473 bis.42 § 1 dello stesso Codice).</w:t>
      </w:r>
    </w:p>
    <w:p w14:paraId="0AD7C8D3"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42. Fin dalle prime fasi del procedimento, il giudice valuta la credibilità delle accuse di violenza domestica e poteva, anche </w:t>
      </w:r>
      <w:r w:rsidRPr="004F76E5">
        <w:rPr>
          <w:rFonts w:ascii="Times New Roman" w:eastAsia="Times New Roman" w:hAnsi="Times New Roman" w:cs="Times New Roman"/>
          <w:i/>
          <w:iCs/>
          <w:color w:val="000000"/>
          <w:kern w:val="0"/>
          <w:lang w:eastAsia="it-IT"/>
          <w14:ligatures w14:val="none"/>
        </w:rPr>
        <w:t>ex officio</w:t>
      </w:r>
      <w:r w:rsidRPr="004F76E5">
        <w:rPr>
          <w:rFonts w:ascii="Times New Roman" w:eastAsia="Times New Roman" w:hAnsi="Times New Roman" w:cs="Times New Roman"/>
          <w:color w:val="000000"/>
          <w:kern w:val="0"/>
          <w:lang w:eastAsia="it-IT"/>
          <w14:ligatures w14:val="none"/>
        </w:rPr>
        <w:t>, ottenere documenti o qualsiasi altro mezzo di prova, interrogare liberamente le parti, ascoltare parenti o vicini o nominare un perito per proteggere le vittime (articolo 473 </w:t>
      </w:r>
      <w:r w:rsidRPr="004F76E5">
        <w:rPr>
          <w:rFonts w:ascii="Times New Roman" w:eastAsia="Times New Roman" w:hAnsi="Times New Roman" w:cs="Times New Roman"/>
          <w:i/>
          <w:iCs/>
          <w:color w:val="000000"/>
          <w:kern w:val="0"/>
          <w:lang w:eastAsia="it-IT"/>
          <w14:ligatures w14:val="none"/>
        </w:rPr>
        <w:t>bis</w:t>
      </w:r>
      <w:r w:rsidRPr="004F76E5">
        <w:rPr>
          <w:rFonts w:ascii="Times New Roman" w:eastAsia="Times New Roman" w:hAnsi="Times New Roman" w:cs="Times New Roman"/>
          <w:color w:val="000000"/>
          <w:kern w:val="0"/>
          <w:lang w:eastAsia="it-IT"/>
          <w14:ligatures w14:val="none"/>
        </w:rPr>
        <w:t>.44 del Codice di Procedura Civile). Devono essere garantite adeguate misure di tutela e protezione: se la condotta di un coniuge o di un altro partner convivente causa gravi danni all'integrità fisica o morale o alla libertà personale dell'altro coniuge o del partner convivente o dei figli, il giudice può ordinare la rimozione dalla casa di famiglia del coniuge o del partner convivente che ha commesso tale convivenza, prescrivendo misure di sostegno, incluso il sostegno finanziario, a favore della famiglia. L'ordine di protezione può rimanere in vigore fino a un anno e può includere un divieto di condotta violenta o un divieto di avvicinarsi alle vittime. Tali misure possono anche essere adottate </w:t>
      </w:r>
      <w:r w:rsidRPr="004F76E5">
        <w:rPr>
          <w:rFonts w:ascii="Times New Roman" w:eastAsia="Times New Roman" w:hAnsi="Times New Roman" w:cs="Times New Roman"/>
          <w:i/>
          <w:iCs/>
          <w:color w:val="000000"/>
          <w:kern w:val="0"/>
          <w:lang w:eastAsia="it-IT"/>
          <w14:ligatures w14:val="none"/>
        </w:rPr>
        <w:t>ex officio</w:t>
      </w:r>
      <w:r w:rsidRPr="004F76E5">
        <w:rPr>
          <w:rFonts w:ascii="Times New Roman" w:eastAsia="Times New Roman" w:hAnsi="Times New Roman" w:cs="Times New Roman"/>
          <w:color w:val="000000"/>
          <w:kern w:val="0"/>
          <w:lang w:eastAsia="it-IT"/>
          <w14:ligatures w14:val="none"/>
        </w:rPr>
        <w:t> e su base provvisoria (Articolo 473 bis.46 dello stesso Codice).</w:t>
      </w:r>
    </w:p>
    <w:p w14:paraId="133FF5A3"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43. </w:t>
      </w:r>
      <w:r w:rsidRPr="004F76E5">
        <w:rPr>
          <w:rFonts w:ascii="Times New Roman" w:eastAsia="Times New Roman" w:hAnsi="Times New Roman" w:cs="Times New Roman"/>
          <w:b/>
          <w:bCs/>
          <w:color w:val="000000"/>
          <w:kern w:val="0"/>
          <w:lang w:eastAsia="it-IT"/>
          <w14:ligatures w14:val="none"/>
        </w:rPr>
        <w:t>Il pubblico ministero svolge</w:t>
      </w:r>
      <w:r w:rsidRPr="004F76E5">
        <w:rPr>
          <w:rFonts w:ascii="Times New Roman" w:eastAsia="Times New Roman" w:hAnsi="Times New Roman" w:cs="Times New Roman"/>
          <w:color w:val="000000"/>
          <w:kern w:val="0"/>
          <w:lang w:eastAsia="it-IT"/>
          <w14:ligatures w14:val="none"/>
        </w:rPr>
        <w:t xml:space="preserve"> </w:t>
      </w:r>
      <w:r w:rsidRPr="004F76E5">
        <w:rPr>
          <w:rFonts w:ascii="Times New Roman" w:eastAsia="Times New Roman" w:hAnsi="Times New Roman" w:cs="Times New Roman"/>
          <w:b/>
          <w:bCs/>
          <w:color w:val="000000"/>
          <w:kern w:val="0"/>
          <w:lang w:eastAsia="it-IT"/>
          <w14:ligatures w14:val="none"/>
        </w:rPr>
        <w:t>un ruolo attivo</w:t>
      </w:r>
      <w:r w:rsidRPr="004F76E5">
        <w:rPr>
          <w:rFonts w:ascii="Times New Roman" w:eastAsia="Times New Roman" w:hAnsi="Times New Roman" w:cs="Times New Roman"/>
          <w:color w:val="000000"/>
          <w:kern w:val="0"/>
          <w:lang w:eastAsia="it-IT"/>
          <w14:ligatures w14:val="none"/>
        </w:rPr>
        <w:t xml:space="preserve"> nei casi riguardanti i diritti genitoriali ed è tenuto a intervenire nei procedimenti di separazione, divorzio e affidamento (articolo 70 del Codice di </w:t>
      </w:r>
      <w:r w:rsidRPr="004F76E5">
        <w:rPr>
          <w:rFonts w:ascii="Times New Roman" w:eastAsia="Times New Roman" w:hAnsi="Times New Roman" w:cs="Times New Roman"/>
          <w:color w:val="000000"/>
          <w:kern w:val="0"/>
          <w:lang w:eastAsia="it-IT"/>
          <w14:ligatures w14:val="none"/>
        </w:rPr>
        <w:lastRenderedPageBreak/>
        <w:t xml:space="preserve">Procedura Civile). Il pubblico ministero </w:t>
      </w:r>
      <w:r w:rsidRPr="004F76E5">
        <w:rPr>
          <w:rFonts w:ascii="Times New Roman" w:eastAsia="Times New Roman" w:hAnsi="Times New Roman" w:cs="Times New Roman"/>
          <w:b/>
          <w:bCs/>
          <w:color w:val="000000"/>
          <w:kern w:val="0"/>
          <w:lang w:eastAsia="it-IT"/>
          <w14:ligatures w14:val="none"/>
        </w:rPr>
        <w:t>è in grado di proporre l'adozione di misure specifiche e di presentare i risultati di eventuali indagini penali (articolo 72 dello stesso Codice e articolo 64 </w:t>
      </w:r>
      <w:r w:rsidRPr="004F76E5">
        <w:rPr>
          <w:rFonts w:ascii="Times New Roman" w:eastAsia="Times New Roman" w:hAnsi="Times New Roman" w:cs="Times New Roman"/>
          <w:b/>
          <w:bCs/>
          <w:i/>
          <w:iCs/>
          <w:color w:val="000000"/>
          <w:kern w:val="0"/>
          <w:lang w:eastAsia="it-IT"/>
          <w14:ligatures w14:val="none"/>
        </w:rPr>
        <w:t>bis</w:t>
      </w:r>
      <w:r w:rsidRPr="004F76E5">
        <w:rPr>
          <w:rFonts w:ascii="Times New Roman" w:eastAsia="Times New Roman" w:hAnsi="Times New Roman" w:cs="Times New Roman"/>
          <w:b/>
          <w:bCs/>
          <w:color w:val="000000"/>
          <w:kern w:val="0"/>
          <w:lang w:eastAsia="it-IT"/>
          <w14:ligatures w14:val="none"/>
        </w:rPr>
        <w:t> che applica le disposizioni del Codice di Procedura Penale</w:t>
      </w:r>
      <w:r w:rsidRPr="004F76E5">
        <w:rPr>
          <w:rFonts w:ascii="Times New Roman" w:eastAsia="Times New Roman" w:hAnsi="Times New Roman" w:cs="Times New Roman"/>
          <w:color w:val="000000"/>
          <w:kern w:val="0"/>
          <w:lang w:eastAsia="it-IT"/>
          <w14:ligatures w14:val="none"/>
        </w:rPr>
        <w:t>).</w:t>
      </w:r>
    </w:p>
    <w:p w14:paraId="1EDED747" w14:textId="77777777" w:rsidR="003A24D7" w:rsidRPr="004F76E5" w:rsidRDefault="003A24D7"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17BF1D6C" w14:textId="77777777" w:rsidR="00B965BE" w:rsidRPr="004F76E5" w:rsidRDefault="00B965BE" w:rsidP="00B965BE">
      <w:pPr>
        <w:shd w:val="clear" w:color="auto" w:fill="FFFFFF"/>
        <w:spacing w:before="280" w:after="240" w:line="240" w:lineRule="auto"/>
        <w:ind w:left="584" w:hanging="352"/>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B.</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b/>
          <w:bCs/>
          <w:color w:val="000000"/>
          <w:kern w:val="0"/>
          <w:lang w:eastAsia="it-IT"/>
          <w14:ligatures w14:val="none"/>
        </w:rPr>
        <w:t>Giurisprudenza della Corte di Cassazione</w:t>
      </w:r>
      <w:r w:rsidRPr="004F76E5">
        <w:rPr>
          <w:rFonts w:ascii="Times New Roman" w:eastAsia="Times New Roman" w:hAnsi="Times New Roman" w:cs="Times New Roman"/>
          <w:color w:val="000000"/>
          <w:kern w:val="0"/>
          <w:sz w:val="14"/>
          <w:szCs w:val="14"/>
          <w:lang w:eastAsia="it-IT"/>
          <w14:ligatures w14:val="none"/>
        </w:rPr>
        <w:t>   </w:t>
      </w:r>
    </w:p>
    <w:p w14:paraId="19D87C59" w14:textId="1E77FCFE" w:rsidR="00B965BE" w:rsidRPr="004F76E5" w:rsidRDefault="00B965BE" w:rsidP="00B965BE">
      <w:pPr>
        <w:shd w:val="clear" w:color="auto" w:fill="FFFFFF"/>
        <w:spacing w:after="0" w:line="240" w:lineRule="auto"/>
        <w:ind w:firstLine="17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44.</w:t>
      </w:r>
      <w:r w:rsidRPr="004F76E5">
        <w:rPr>
          <w:rFonts w:ascii="Times New Roman" w:eastAsia="Times New Roman" w:hAnsi="Times New Roman" w:cs="Times New Roman"/>
          <w:color w:val="000000"/>
          <w:kern w:val="0"/>
          <w:lang w:eastAsia="it-IT"/>
          <w14:ligatures w14:val="none"/>
        </w:rPr>
        <w:t> Nell</w:t>
      </w:r>
      <w:r w:rsidR="003A24D7" w:rsidRPr="004F76E5">
        <w:rPr>
          <w:rFonts w:ascii="Times New Roman" w:eastAsia="Times New Roman" w:hAnsi="Times New Roman" w:cs="Times New Roman"/>
          <w:color w:val="000000"/>
          <w:kern w:val="0"/>
          <w:lang w:eastAsia="it-IT"/>
          <w14:ligatures w14:val="none"/>
        </w:rPr>
        <w:t xml:space="preserve">a </w:t>
      </w:r>
      <w:r w:rsidRPr="004F76E5">
        <w:rPr>
          <w:rFonts w:ascii="Times New Roman" w:eastAsia="Times New Roman" w:hAnsi="Times New Roman" w:cs="Times New Roman"/>
          <w:color w:val="000000"/>
          <w:kern w:val="0"/>
          <w:lang w:eastAsia="it-IT"/>
          <w14:ligatures w14:val="none"/>
        </w:rPr>
        <w:t>Ordin</w:t>
      </w:r>
      <w:r w:rsidR="003A24D7" w:rsidRPr="004F76E5">
        <w:rPr>
          <w:rFonts w:ascii="Times New Roman" w:eastAsia="Times New Roman" w:hAnsi="Times New Roman" w:cs="Times New Roman"/>
          <w:color w:val="000000"/>
          <w:kern w:val="0"/>
          <w:lang w:eastAsia="it-IT"/>
          <w14:ligatures w14:val="none"/>
        </w:rPr>
        <w:t>anza</w:t>
      </w:r>
      <w:r w:rsidRPr="004F76E5">
        <w:rPr>
          <w:rFonts w:ascii="Times New Roman" w:eastAsia="Times New Roman" w:hAnsi="Times New Roman" w:cs="Times New Roman"/>
          <w:color w:val="000000"/>
          <w:kern w:val="0"/>
          <w:lang w:eastAsia="it-IT"/>
          <w14:ligatures w14:val="none"/>
        </w:rPr>
        <w:t xml:space="preserve"> n. 4595 del 21 febbraio 2025, la Corte di Cassazione ha sottolineato che la valutazione della violenza domestica condotta dai tribunali civili era indipendente da qualsiasi constatazione emersa nei procedimenti penali. Ha chiarito che una punizione penale per la persona responsabile non era sufficiente a proteggere le vittime di violenza domestica e che era necessario un intervento rapido, tempestivo e approfondito da parte del giudice per gestire i rapporti familiari. A tal fine, i giudici disponevano di strumenti specifici, inclusa la possibilità di ordinare la rimozione del colpevole dalla casa familiare, che erano adatti non solo a proteggere la vittima ma anche a prevenire l'escalation della violenza. La Corte di Cassazione ha inoltre specificato che strumenti di diritto civile per la protezione delle vittime di violenza domestica – rafforzati dal Decreto Legislativo n. 149/2022 – </w:t>
      </w:r>
      <w:r w:rsidRPr="004F76E5">
        <w:rPr>
          <w:rFonts w:ascii="Times New Roman" w:eastAsia="Times New Roman" w:hAnsi="Times New Roman" w:cs="Times New Roman"/>
          <w:b/>
          <w:bCs/>
          <w:color w:val="000000"/>
          <w:kern w:val="0"/>
          <w:u w:val="single"/>
          <w:lang w:eastAsia="it-IT"/>
          <w14:ligatures w14:val="none"/>
        </w:rPr>
        <w:t>esistevano anche prima di quella riforma, poiché i tribunali nazionali avevano l'obbligo di interpretare il diritto nazionale in conformità con la Convenzione di Istanbul</w:t>
      </w:r>
      <w:r w:rsidRPr="004F76E5">
        <w:rPr>
          <w:rFonts w:ascii="Times New Roman" w:eastAsia="Times New Roman" w:hAnsi="Times New Roman" w:cs="Times New Roman"/>
          <w:color w:val="000000"/>
          <w:kern w:val="0"/>
          <w:lang w:eastAsia="it-IT"/>
          <w14:ligatures w14:val="none"/>
        </w:rPr>
        <w:t>.</w:t>
      </w:r>
    </w:p>
    <w:p w14:paraId="21271A15" w14:textId="4E856896"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45</w:t>
      </w:r>
      <w:r w:rsidRPr="004F76E5">
        <w:rPr>
          <w:rFonts w:ascii="Times New Roman" w:eastAsia="Times New Roman" w:hAnsi="Times New Roman" w:cs="Times New Roman"/>
          <w:color w:val="000000"/>
          <w:kern w:val="0"/>
          <w:lang w:eastAsia="it-IT"/>
          <w14:ligatures w14:val="none"/>
        </w:rPr>
        <w:t>. Il dovere di interpretare il diritto interno in conformità con la Convenzione di Istanbul era già stato riconosciuto dalla Corte di Cassazione nell'Ordin</w:t>
      </w:r>
      <w:r w:rsidR="00DE630A" w:rsidRPr="004F76E5">
        <w:rPr>
          <w:rFonts w:ascii="Times New Roman" w:eastAsia="Times New Roman" w:hAnsi="Times New Roman" w:cs="Times New Roman"/>
          <w:color w:val="000000"/>
          <w:kern w:val="0"/>
          <w:lang w:eastAsia="it-IT"/>
          <w14:ligatures w14:val="none"/>
        </w:rPr>
        <w:t>anza</w:t>
      </w:r>
      <w:r w:rsidRPr="004F76E5">
        <w:rPr>
          <w:rFonts w:ascii="Times New Roman" w:eastAsia="Times New Roman" w:hAnsi="Times New Roman" w:cs="Times New Roman"/>
          <w:color w:val="000000"/>
          <w:kern w:val="0"/>
          <w:lang w:eastAsia="it-IT"/>
          <w14:ligatures w14:val="none"/>
        </w:rPr>
        <w:t xml:space="preserve"> n. 11631/2024, datata 30 aprile 2024. In quella sentenza, la Corte di Cassazione ha chiarito che uno degli scopi fondamentali della Convenzione era la prevenzione della vittimizzazione secondaria. Questo obiettivo – anche prima dell'entrata in vigore delle disposizioni introdotte dal Decreto Legislativo n. 149/2022 – doveva anche fungere da guida nei procedimenti civili ogni volta che si presentavano circostanze indicative di violenza domestica. Di conseguenza, la Corte di Cassazione ha stabilito che, nei procedimenti relativi alla responsabilità genitoriale in cui venivano sollevate accuse di violenza domestica e non erano state escluse, il giudice aveva il dovere di verificare se le misure adottate fossero compatibili e non comportassero un rischio di vittimizzazione secondaria nel caso specifico.</w:t>
      </w:r>
    </w:p>
    <w:p w14:paraId="66656395" w14:textId="77777777" w:rsidR="00DE630A" w:rsidRPr="004F76E5" w:rsidRDefault="00DE630A"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7420507F" w14:textId="77777777" w:rsidR="00B965BE" w:rsidRPr="004F76E5" w:rsidRDefault="00B965BE" w:rsidP="00B965BE">
      <w:pPr>
        <w:shd w:val="clear" w:color="auto" w:fill="FFFFFF"/>
        <w:spacing w:before="280" w:after="240" w:line="240" w:lineRule="auto"/>
        <w:ind w:left="357" w:hanging="357"/>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II.DIRITTO INTERNAZIONALE E ATTIVITÀ PROFESSIONALE</w:t>
      </w:r>
      <w:r w:rsidRPr="004F76E5">
        <w:rPr>
          <w:rFonts w:ascii="Times New Roman" w:eastAsia="Times New Roman" w:hAnsi="Times New Roman" w:cs="Times New Roman"/>
          <w:b/>
          <w:bCs/>
          <w:color w:val="000000"/>
          <w:kern w:val="0"/>
          <w:sz w:val="14"/>
          <w:szCs w:val="14"/>
          <w:lang w:eastAsia="it-IT"/>
          <w14:ligatures w14:val="none"/>
        </w:rPr>
        <w:t>    </w:t>
      </w:r>
    </w:p>
    <w:p w14:paraId="16BD132C"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46.</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i/>
          <w:iCs/>
          <w:color w:val="000000"/>
          <w:kern w:val="0"/>
          <w:lang w:eastAsia="it-IT"/>
          <w14:ligatures w14:val="none"/>
        </w:rPr>
        <w:t>In Kurt contro Austria</w:t>
      </w:r>
      <w:r w:rsidRPr="004F76E5">
        <w:rPr>
          <w:rFonts w:ascii="Times New Roman" w:eastAsia="Times New Roman" w:hAnsi="Times New Roman" w:cs="Times New Roman"/>
          <w:color w:val="000000"/>
          <w:kern w:val="0"/>
          <w:lang w:eastAsia="it-IT"/>
          <w14:ligatures w14:val="none"/>
        </w:rPr>
        <w:t> ([GC], n. </w:t>
      </w:r>
      <w:hyperlink r:id="rId10" w:anchor="{%22appno%22:[%2262903/15%22]}" w:tgtFrame="_blank" w:history="1">
        <w:r w:rsidRPr="004F76E5">
          <w:rPr>
            <w:rFonts w:ascii="Times New Roman" w:eastAsia="Times New Roman" w:hAnsi="Times New Roman" w:cs="Times New Roman"/>
            <w:color w:val="0069D6"/>
            <w:kern w:val="0"/>
            <w:u w:val="single"/>
            <w:lang w:eastAsia="it-IT"/>
            <w14:ligatures w14:val="none"/>
          </w:rPr>
          <w:t>62903/15</w:t>
        </w:r>
      </w:hyperlink>
      <w:r w:rsidRPr="004F76E5">
        <w:rPr>
          <w:rFonts w:ascii="Times New Roman" w:eastAsia="Times New Roman" w:hAnsi="Times New Roman" w:cs="Times New Roman"/>
          <w:color w:val="000000"/>
          <w:kern w:val="0"/>
          <w:lang w:eastAsia="it-IT"/>
          <w14:ligatures w14:val="none"/>
        </w:rPr>
        <w:t>, §§ 75-86, 15 giugno 2021) fa riferimento alle disposizioni pertinenti della Convenzione di Istanbul, entrata in vigore per l'Italia il 1° agosto 2014. Altre disposizioni rilevanti sono elencate in </w:t>
      </w:r>
      <w:r w:rsidRPr="004F76E5">
        <w:rPr>
          <w:rFonts w:ascii="Times New Roman" w:eastAsia="Times New Roman" w:hAnsi="Times New Roman" w:cs="Times New Roman"/>
          <w:i/>
          <w:iCs/>
          <w:color w:val="000000"/>
          <w:kern w:val="0"/>
          <w:lang w:eastAsia="it-IT"/>
          <w14:ligatures w14:val="none"/>
        </w:rPr>
        <w:t>Landi </w:t>
      </w:r>
      <w:r w:rsidRPr="004F76E5">
        <w:rPr>
          <w:rFonts w:ascii="Times New Roman" w:eastAsia="Times New Roman" w:hAnsi="Times New Roman" w:cs="Times New Roman"/>
          <w:color w:val="000000"/>
          <w:kern w:val="0"/>
          <w:lang w:eastAsia="it-IT"/>
          <w14:ligatures w14:val="none"/>
        </w:rPr>
        <w:t>(citato sopra, §§ 50-52).</w:t>
      </w:r>
    </w:p>
    <w:p w14:paraId="6E953C59" w14:textId="77777777"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25" w:name="paragraph00047"/>
      <w:r w:rsidRPr="004F76E5">
        <w:rPr>
          <w:rFonts w:ascii="Times New Roman" w:eastAsia="Times New Roman" w:hAnsi="Times New Roman" w:cs="Times New Roman"/>
          <w:b/>
          <w:bCs/>
          <w:color w:val="000000"/>
          <w:kern w:val="0"/>
          <w:lang w:eastAsia="it-IT"/>
          <w14:ligatures w14:val="none"/>
        </w:rPr>
        <w:t>47</w:t>
      </w:r>
      <w:bookmarkEnd w:id="25"/>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Nel </w:t>
      </w:r>
      <w:r w:rsidRPr="004F76E5">
        <w:rPr>
          <w:rFonts w:ascii="Times New Roman" w:eastAsia="Times New Roman" w:hAnsi="Times New Roman" w:cs="Times New Roman"/>
          <w:i/>
          <w:iCs/>
          <w:color w:val="000000"/>
          <w:kern w:val="0"/>
          <w:lang w:eastAsia="it-IT"/>
          <w14:ligatures w14:val="none"/>
        </w:rPr>
        <w:t xml:space="preserve">caso </w:t>
      </w:r>
      <w:proofErr w:type="spellStart"/>
      <w:r w:rsidRPr="004F76E5">
        <w:rPr>
          <w:rFonts w:ascii="Times New Roman" w:eastAsia="Times New Roman" w:hAnsi="Times New Roman" w:cs="Times New Roman"/>
          <w:i/>
          <w:iCs/>
          <w:color w:val="000000"/>
          <w:kern w:val="0"/>
          <w:lang w:eastAsia="it-IT"/>
          <w14:ligatures w14:val="none"/>
        </w:rPr>
        <w:t>Scuderoni</w:t>
      </w:r>
      <w:proofErr w:type="spellEnd"/>
      <w:r w:rsidRPr="004F76E5">
        <w:rPr>
          <w:rFonts w:ascii="Times New Roman" w:eastAsia="Times New Roman" w:hAnsi="Times New Roman" w:cs="Times New Roman"/>
          <w:i/>
          <w:iCs/>
          <w:color w:val="000000"/>
          <w:kern w:val="0"/>
          <w:lang w:eastAsia="it-IT"/>
          <w14:ligatures w14:val="none"/>
        </w:rPr>
        <w:t xml:space="preserve"> contro Italia </w:t>
      </w:r>
      <w:r w:rsidRPr="004F76E5">
        <w:rPr>
          <w:rFonts w:ascii="Times New Roman" w:eastAsia="Times New Roman" w:hAnsi="Times New Roman" w:cs="Times New Roman"/>
          <w:color w:val="000000"/>
          <w:kern w:val="0"/>
          <w:lang w:eastAsia="it-IT"/>
          <w14:ligatures w14:val="none"/>
        </w:rPr>
        <w:t>(n. </w:t>
      </w:r>
      <w:hyperlink r:id="rId11" w:anchor="{%22appno%22:[%226045/24%22]}" w:tgtFrame="_blank" w:history="1">
        <w:r w:rsidRPr="004F76E5">
          <w:rPr>
            <w:rFonts w:ascii="Times New Roman" w:eastAsia="Times New Roman" w:hAnsi="Times New Roman" w:cs="Times New Roman"/>
            <w:color w:val="0069D6"/>
            <w:kern w:val="0"/>
            <w:u w:val="single"/>
            <w:lang w:eastAsia="it-IT"/>
            <w14:ligatures w14:val="none"/>
          </w:rPr>
          <w:t>6045/24</w:t>
        </w:r>
      </w:hyperlink>
      <w:r w:rsidRPr="004F76E5">
        <w:rPr>
          <w:rFonts w:ascii="Times New Roman" w:eastAsia="Times New Roman" w:hAnsi="Times New Roman" w:cs="Times New Roman"/>
          <w:color w:val="000000"/>
          <w:kern w:val="0"/>
          <w:lang w:eastAsia="it-IT"/>
          <w14:ligatures w14:val="none"/>
        </w:rPr>
        <w:t>, §§ 56-57, 23 settembre 2025) e </w:t>
      </w:r>
      <w:bookmarkStart w:id="26" w:name="_cl42142THEFACTS"/>
      <w:r w:rsidRPr="004F76E5">
        <w:rPr>
          <w:rFonts w:ascii="Times New Roman" w:eastAsia="Times New Roman" w:hAnsi="Times New Roman" w:cs="Times New Roman"/>
          <w:i/>
          <w:iCs/>
          <w:color w:val="000000"/>
          <w:kern w:val="0"/>
          <w:lang w:eastAsia="it-IT"/>
          <w14:ligatures w14:val="none"/>
        </w:rPr>
        <w:t>I.M. e altri contro Italia</w:t>
      </w:r>
      <w:bookmarkEnd w:id="26"/>
      <w:r w:rsidRPr="004F76E5">
        <w:rPr>
          <w:rFonts w:ascii="Times New Roman" w:eastAsia="Times New Roman" w:hAnsi="Times New Roman" w:cs="Times New Roman"/>
          <w:color w:val="000000"/>
          <w:kern w:val="0"/>
          <w:lang w:eastAsia="it-IT"/>
          <w14:ligatures w14:val="none"/>
        </w:rPr>
        <w:t>, (n. </w:t>
      </w:r>
      <w:hyperlink r:id="rId12" w:anchor="{%22appno%22:[%2225426/20%22]}" w:tgtFrame="_blank" w:history="1">
        <w:r w:rsidRPr="004F76E5">
          <w:rPr>
            <w:rFonts w:ascii="Times New Roman" w:eastAsia="Times New Roman" w:hAnsi="Times New Roman" w:cs="Times New Roman"/>
            <w:color w:val="0069D6"/>
            <w:kern w:val="0"/>
            <w:u w:val="single"/>
            <w:lang w:eastAsia="it-IT"/>
            <w14:ligatures w14:val="none"/>
          </w:rPr>
          <w:t>25426/20</w:t>
        </w:r>
      </w:hyperlink>
      <w:r w:rsidRPr="004F76E5">
        <w:rPr>
          <w:rFonts w:ascii="Times New Roman" w:eastAsia="Times New Roman" w:hAnsi="Times New Roman" w:cs="Times New Roman"/>
          <w:color w:val="000000"/>
          <w:kern w:val="0"/>
          <w:lang w:eastAsia="it-IT"/>
          <w14:ligatures w14:val="none"/>
        </w:rPr>
        <w:t>, §§ 73-74, 10 novembre 2022) si fa riferimento al Rapporto di Valutazione di Base sull'Italia (GREVIO/Inf(2019)18) pubblicato il 13 gennaio 2020 dal Consiglio d'Europa di Esperti sull'Azione contro la Violenza contro le Donne e la Violenza Domestica (GREVIO), un organismo indipendente specializzato responsabile del monitoraggio dell'attuazione della Convenzione di Istanbul da parte delle Parti. In particolare, nel paragrafo 183 il rapporto sottolineava che talvolta "</w:t>
      </w:r>
      <w:r w:rsidRPr="004F76E5">
        <w:rPr>
          <w:rFonts w:ascii="Times New Roman" w:eastAsia="Times New Roman" w:hAnsi="Times New Roman" w:cs="Times New Roman"/>
          <w:i/>
          <w:iCs/>
          <w:color w:val="000000"/>
          <w:kern w:val="0"/>
          <w:lang w:eastAsia="it-IT"/>
          <w14:ligatures w14:val="none"/>
        </w:rPr>
        <w:t xml:space="preserve">i tribunali civili ... non solo non rilevavano casi di violenza, ma tendevano a ignorarli" </w:t>
      </w:r>
      <w:r w:rsidRPr="004F76E5">
        <w:rPr>
          <w:rFonts w:ascii="Times New Roman" w:eastAsia="Times New Roman" w:hAnsi="Times New Roman" w:cs="Times New Roman"/>
          <w:color w:val="000000"/>
          <w:kern w:val="0"/>
          <w:lang w:eastAsia="it-IT"/>
          <w14:ligatures w14:val="none"/>
        </w:rPr>
        <w:t xml:space="preserve">e stigmatizzavano l'uso raro delle disposizioni del Codice Civile sulla custodia esclusiva o la rimozione della responsabilità genitoriale a favore di bambini che avevano subito violenza. Allo stesso tempo, nel paragrafo 186 il rapporto sottolineava: </w:t>
      </w:r>
      <w:r w:rsidRPr="004F76E5">
        <w:rPr>
          <w:rFonts w:ascii="Times New Roman" w:eastAsia="Times New Roman" w:hAnsi="Times New Roman" w:cs="Times New Roman"/>
          <w:i/>
          <w:iCs/>
          <w:color w:val="000000"/>
          <w:kern w:val="0"/>
          <w:lang w:eastAsia="it-IT"/>
          <w14:ligatures w14:val="none"/>
        </w:rPr>
        <w:t>"Alla luce di numerose ricerche che mostrano che una custodia e le visite improprie dei figli possono esporre le donne ad abusi post-separazione e vittimizzazione secondaria [...] che la sicurezza del genitore non violento e dei figli deve essere un fattore centrale nella decisione del miglior interesse del bambino in relazione alla custodia e alle visite".</w:t>
      </w:r>
      <w:r w:rsidRPr="004F76E5">
        <w:rPr>
          <w:rFonts w:ascii="Times New Roman" w:eastAsia="Times New Roman" w:hAnsi="Times New Roman" w:cs="Times New Roman"/>
          <w:color w:val="000000"/>
          <w:kern w:val="0"/>
          <w:lang w:eastAsia="it-IT"/>
          <w14:ligatures w14:val="none"/>
        </w:rPr>
        <w:t> Nel rapporto sono state espresse preoccupazioni riguardo alle informazioni fornite da organizzazioni non governative che avrebbero indicato che il sistema in atto, invece di garantire protezione alle vittime e ai loro figli, si è "</w:t>
      </w:r>
      <w:r w:rsidRPr="004F76E5">
        <w:rPr>
          <w:rFonts w:ascii="Times New Roman" w:eastAsia="Times New Roman" w:hAnsi="Times New Roman" w:cs="Times New Roman"/>
          <w:i/>
          <w:iCs/>
          <w:color w:val="000000"/>
          <w:kern w:val="0"/>
          <w:lang w:eastAsia="it-IT"/>
          <w14:ligatures w14:val="none"/>
        </w:rPr>
        <w:t>ritorto contro</w:t>
      </w:r>
      <w:r w:rsidRPr="004F76E5">
        <w:rPr>
          <w:rFonts w:ascii="Times New Roman" w:eastAsia="Times New Roman" w:hAnsi="Times New Roman" w:cs="Times New Roman"/>
          <w:color w:val="000000"/>
          <w:kern w:val="0"/>
          <w:lang w:eastAsia="it-IT"/>
          <w14:ligatures w14:val="none"/>
        </w:rPr>
        <w:t>" contro le madri che cercavano di proteggere i propri figli denunciando la violenza e li avrebbe esposti a vittimizzazione secondaria.</w:t>
      </w:r>
    </w:p>
    <w:p w14:paraId="309E9320" w14:textId="77777777" w:rsidR="00F6581B"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27" w:name="paragraph00048"/>
      <w:r w:rsidRPr="004F76E5">
        <w:rPr>
          <w:rFonts w:ascii="Times New Roman" w:eastAsia="Times New Roman" w:hAnsi="Times New Roman" w:cs="Times New Roman"/>
          <w:color w:val="000000"/>
          <w:kern w:val="0"/>
          <w:lang w:eastAsia="it-IT"/>
          <w14:ligatures w14:val="none"/>
        </w:rPr>
        <w:lastRenderedPageBreak/>
        <w:t>48</w:t>
      </w:r>
      <w:bookmarkEnd w:id="27"/>
      <w:r w:rsidRPr="004F76E5">
        <w:rPr>
          <w:rFonts w:ascii="Times New Roman" w:eastAsia="Times New Roman" w:hAnsi="Times New Roman" w:cs="Times New Roman"/>
          <w:color w:val="000000"/>
          <w:kern w:val="0"/>
          <w:lang w:eastAsia="it-IT"/>
          <w14:ligatures w14:val="none"/>
        </w:rPr>
        <w:t>. Nel suo Primo Rapporto di Valutazione Tematica sull'Italia (</w:t>
      </w:r>
      <w:proofErr w:type="gramStart"/>
      <w:r w:rsidRPr="004F76E5">
        <w:rPr>
          <w:rFonts w:ascii="Times New Roman" w:eastAsia="Times New Roman" w:hAnsi="Times New Roman" w:cs="Times New Roman"/>
          <w:color w:val="000000"/>
          <w:kern w:val="0"/>
          <w:lang w:eastAsia="it-IT"/>
          <w14:ligatures w14:val="none"/>
        </w:rPr>
        <w:t>GREVIO(</w:t>
      </w:r>
      <w:proofErr w:type="gramEnd"/>
      <w:r w:rsidRPr="004F76E5">
        <w:rPr>
          <w:rFonts w:ascii="Times New Roman" w:eastAsia="Times New Roman" w:hAnsi="Times New Roman" w:cs="Times New Roman"/>
          <w:color w:val="000000"/>
          <w:kern w:val="0"/>
          <w:lang w:eastAsia="it-IT"/>
          <w14:ligatures w14:val="none"/>
        </w:rPr>
        <w:t xml:space="preserve">2025)15), pubblicato il 2 dicembre 2025, GREVIO ha accolto con favore la significativa espansione e lo sviluppo del quadro legislativo nazionale sulla violenza contro le donne. In riferimento a indagini, procedimenti penali, diritto procedurale e misure protettive, il rapporto: </w:t>
      </w:r>
    </w:p>
    <w:p w14:paraId="70958177" w14:textId="77777777" w:rsidR="00F6581B"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w:t>
      </w:r>
      <w:r w:rsidR="00F6581B" w:rsidRPr="004F76E5">
        <w:rPr>
          <w:rFonts w:ascii="Times New Roman" w:eastAsia="Times New Roman" w:hAnsi="Times New Roman" w:cs="Times New Roman"/>
          <w:color w:val="000000"/>
          <w:kern w:val="0"/>
          <w:lang w:eastAsia="it-IT"/>
          <w14:ligatures w14:val="none"/>
        </w:rPr>
        <w:t>I</w:t>
      </w:r>
      <w:r w:rsidRPr="004F76E5">
        <w:rPr>
          <w:rFonts w:ascii="Times New Roman" w:eastAsia="Times New Roman" w:hAnsi="Times New Roman" w:cs="Times New Roman"/>
          <w:color w:val="000000"/>
          <w:kern w:val="0"/>
          <w:lang w:eastAsia="it-IT"/>
          <w14:ligatures w14:val="none"/>
        </w:rPr>
        <w:t>) sottolineava che l'articolo 49 della Convenzione di Istanbul richiedeva che le indagini e i procedimenti giudiziari fossero condotti senza ritardi ingiustificati e con pieno rispetto dei diritti delle vittime in ogni fase (paragrafo 119 del rapporto);</w:t>
      </w:r>
    </w:p>
    <w:p w14:paraId="3ED49B2D" w14:textId="77777777" w:rsidR="00F6581B"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w:t>
      </w:r>
      <w:r w:rsidR="00F6581B" w:rsidRPr="004F76E5">
        <w:rPr>
          <w:rFonts w:ascii="Times New Roman" w:eastAsia="Times New Roman" w:hAnsi="Times New Roman" w:cs="Times New Roman"/>
          <w:color w:val="000000"/>
          <w:kern w:val="0"/>
          <w:lang w:eastAsia="it-IT"/>
          <w14:ligatures w14:val="none"/>
        </w:rPr>
        <w:t>II</w:t>
      </w:r>
      <w:r w:rsidRPr="004F76E5">
        <w:rPr>
          <w:rFonts w:ascii="Times New Roman" w:eastAsia="Times New Roman" w:hAnsi="Times New Roman" w:cs="Times New Roman"/>
          <w:color w:val="000000"/>
          <w:kern w:val="0"/>
          <w:lang w:eastAsia="it-IT"/>
          <w14:ligatures w14:val="none"/>
        </w:rPr>
        <w:t xml:space="preserve">) ha osservato che le procedure di fast-track erano state ulteriormente rafforzate per i casi che coinvolgevano violenza domestica, violenza fisica, stupro e violazione della violazione degli ordini di protezione o di divieto (paragrafo 123 del Rapporto); </w:t>
      </w:r>
    </w:p>
    <w:p w14:paraId="0E2FEB65" w14:textId="77777777" w:rsidR="00F6581B"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w:t>
      </w:r>
      <w:r w:rsidR="00F6581B" w:rsidRPr="004F76E5">
        <w:rPr>
          <w:rFonts w:ascii="Times New Roman" w:eastAsia="Times New Roman" w:hAnsi="Times New Roman" w:cs="Times New Roman"/>
          <w:color w:val="000000"/>
          <w:kern w:val="0"/>
          <w:lang w:eastAsia="it-IT"/>
          <w14:ligatures w14:val="none"/>
        </w:rPr>
        <w:t>III</w:t>
      </w:r>
      <w:r w:rsidRPr="004F76E5">
        <w:rPr>
          <w:rFonts w:ascii="Times New Roman" w:eastAsia="Times New Roman" w:hAnsi="Times New Roman" w:cs="Times New Roman"/>
          <w:color w:val="000000"/>
          <w:kern w:val="0"/>
          <w:lang w:eastAsia="it-IT"/>
          <w14:ligatures w14:val="none"/>
        </w:rPr>
        <w:t xml:space="preserve">) ha mostrato apprezzamento per il nuovo requisito previsto dalla Legge n. 168/2023 per nominare procuratori specializzati per i reati coperti dalla Convenzione di Istanbul, ma ha osservato che i casi di violenza contro le donne non venivano sempre assegnati a tali procuratori specializzati, anche quando erano disponibili (paragrafo 124 del rapporto); </w:t>
      </w:r>
    </w:p>
    <w:p w14:paraId="37591188" w14:textId="77777777" w:rsidR="00F6581B"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w:t>
      </w:r>
      <w:r w:rsidR="00F6581B" w:rsidRPr="004F76E5">
        <w:rPr>
          <w:rFonts w:ascii="Times New Roman" w:eastAsia="Times New Roman" w:hAnsi="Times New Roman" w:cs="Times New Roman"/>
          <w:color w:val="000000"/>
          <w:kern w:val="0"/>
          <w:lang w:eastAsia="it-IT"/>
          <w14:ligatures w14:val="none"/>
        </w:rPr>
        <w:t>IV</w:t>
      </w:r>
      <w:r w:rsidRPr="004F76E5">
        <w:rPr>
          <w:rFonts w:ascii="Times New Roman" w:eastAsia="Times New Roman" w:hAnsi="Times New Roman" w:cs="Times New Roman"/>
          <w:color w:val="000000"/>
          <w:kern w:val="0"/>
          <w:lang w:eastAsia="it-IT"/>
          <w14:ligatures w14:val="none"/>
        </w:rPr>
        <w:t xml:space="preserve">) espresse preoccupazioni per la vittimizzazione secondaria nei procedimenti giudiziari, affermando che le vittime affrontavano ancora sfide di credibilità, stereotipi di genere e pregiudizi da parte di attori giudiziari, esperti e avvocati, oltre a una tendenza a sottovalutare la gravità delle diverse forme di violenza (sintesi esecutive e paragrafo 133 del Rapporto); </w:t>
      </w:r>
    </w:p>
    <w:p w14:paraId="3DE1BA2E" w14:textId="77777777" w:rsidR="00F6581B"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w:t>
      </w:r>
      <w:r w:rsidR="00F6581B" w:rsidRPr="004F76E5">
        <w:rPr>
          <w:rFonts w:ascii="Times New Roman" w:eastAsia="Times New Roman" w:hAnsi="Times New Roman" w:cs="Times New Roman"/>
          <w:color w:val="000000"/>
          <w:kern w:val="0"/>
          <w:lang w:eastAsia="it-IT"/>
          <w14:ligatures w14:val="none"/>
        </w:rPr>
        <w:t>V</w:t>
      </w:r>
      <w:r w:rsidRPr="004F76E5">
        <w:rPr>
          <w:rFonts w:ascii="Times New Roman" w:eastAsia="Times New Roman" w:hAnsi="Times New Roman" w:cs="Times New Roman"/>
          <w:color w:val="000000"/>
          <w:kern w:val="0"/>
          <w:lang w:eastAsia="it-IT"/>
          <w14:ligatures w14:val="none"/>
        </w:rPr>
        <w:t xml:space="preserve">) sottolineava che la durata del processo continuava a essere un problema importante, con gravi casi di violenza contro le donne che venivano scaduti (paragrafo 132 del Rapporto); e </w:t>
      </w:r>
    </w:p>
    <w:p w14:paraId="6E391977" w14:textId="1A8E4DAC"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w:t>
      </w:r>
      <w:r w:rsidR="00F6581B" w:rsidRPr="004F76E5">
        <w:rPr>
          <w:rFonts w:ascii="Times New Roman" w:eastAsia="Times New Roman" w:hAnsi="Times New Roman" w:cs="Times New Roman"/>
          <w:color w:val="000000"/>
          <w:kern w:val="0"/>
          <w:lang w:eastAsia="it-IT"/>
          <w14:ligatures w14:val="none"/>
        </w:rPr>
        <w:t>VI</w:t>
      </w:r>
      <w:r w:rsidRPr="004F76E5">
        <w:rPr>
          <w:rFonts w:ascii="Times New Roman" w:eastAsia="Times New Roman" w:hAnsi="Times New Roman" w:cs="Times New Roman"/>
          <w:color w:val="000000"/>
          <w:kern w:val="0"/>
          <w:lang w:eastAsia="it-IT"/>
          <w14:ligatures w14:val="none"/>
        </w:rPr>
        <w:t>) accoglievano con favore le recenti riforme della procedura civile nei procedimenti di custodia, ma sottolineavano che tali riforme non avevano ancora prodotto una reale riduzione della durata complessiva di tali procedimenti (paragrafi 103-107 del Rapporto).</w:t>
      </w:r>
    </w:p>
    <w:p w14:paraId="093C5E79" w14:textId="77777777" w:rsidR="00F6581B" w:rsidRPr="004F76E5" w:rsidRDefault="00F6581B"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1F92E33E" w14:textId="7F9A81E3"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49.</w:t>
      </w:r>
      <w:r w:rsidRPr="004F76E5">
        <w:rPr>
          <w:rFonts w:ascii="Times New Roman" w:eastAsia="Times New Roman" w:hAnsi="Times New Roman" w:cs="Times New Roman"/>
          <w:color w:val="000000"/>
          <w:kern w:val="0"/>
          <w:lang w:eastAsia="it-IT"/>
          <w14:ligatures w14:val="none"/>
        </w:rPr>
        <w:t> Le parti rilevanti delle osservazioni conclusive sull'ottavo rapporto periodico dell'Italia (CEDAW/C/ITA/8) del Comitato delle Nazioni Unite per l'Eliminazione della Discriminazione contro la Donna (CEDAW) sono riassunte in </w:t>
      </w:r>
      <w:proofErr w:type="spellStart"/>
      <w:r w:rsidRPr="004F76E5">
        <w:rPr>
          <w:rFonts w:ascii="Times New Roman" w:eastAsia="Times New Roman" w:hAnsi="Times New Roman" w:cs="Times New Roman"/>
          <w:i/>
          <w:iCs/>
          <w:color w:val="000000"/>
          <w:kern w:val="0"/>
          <w:lang w:eastAsia="it-IT"/>
          <w14:ligatures w14:val="none"/>
        </w:rPr>
        <w:t>Scuderoni</w:t>
      </w:r>
      <w:proofErr w:type="spellEnd"/>
      <w:r w:rsidRPr="004F76E5">
        <w:rPr>
          <w:rFonts w:ascii="Times New Roman" w:eastAsia="Times New Roman" w:hAnsi="Times New Roman" w:cs="Times New Roman"/>
          <w:color w:val="000000"/>
          <w:kern w:val="0"/>
          <w:lang w:eastAsia="it-IT"/>
          <w14:ligatures w14:val="none"/>
        </w:rPr>
        <w:t> (citato sopra, § 60). Il rapporto, pubblicato il 27 febbraio 2024, raccomandava, tra le altre cose, che l'Italia garantisse, attraverso un rafforzamento obbligatorio e continuo delle capacità di giudici, procuratori, agenti di polizia e altri funzionari delle forze dell'ordine, che la violenza di genere, inclusa quella sessuale e domestica contro le donne, fosse efficacemente indagato e perseguito, che i responsabili fossero adeguatamente puniti e che gli ordini di protezione fossero efficacemente eseguiti. monitorat</w:t>
      </w:r>
      <w:r w:rsidR="00F6581B" w:rsidRPr="004F76E5">
        <w:rPr>
          <w:rFonts w:ascii="Times New Roman" w:eastAsia="Times New Roman" w:hAnsi="Times New Roman" w:cs="Times New Roman"/>
          <w:color w:val="000000"/>
          <w:kern w:val="0"/>
          <w:lang w:eastAsia="it-IT"/>
          <w14:ligatures w14:val="none"/>
        </w:rPr>
        <w:t>i</w:t>
      </w:r>
      <w:r w:rsidRPr="004F76E5">
        <w:rPr>
          <w:rFonts w:ascii="Times New Roman" w:eastAsia="Times New Roman" w:hAnsi="Times New Roman" w:cs="Times New Roman"/>
          <w:color w:val="000000"/>
          <w:kern w:val="0"/>
          <w:lang w:eastAsia="it-IT"/>
          <w14:ligatures w14:val="none"/>
        </w:rPr>
        <w:t>, con sanzioni in caso di non conformità.</w:t>
      </w:r>
    </w:p>
    <w:p w14:paraId="6124827C" w14:textId="77777777" w:rsidR="00B965BE" w:rsidRPr="004F76E5" w:rsidRDefault="00B965BE" w:rsidP="00B965BE">
      <w:pPr>
        <w:shd w:val="clear" w:color="auto" w:fill="FFFFFF"/>
        <w:spacing w:before="280" w:after="240" w:line="240" w:lineRule="auto"/>
        <w:ind w:left="340" w:hanging="340"/>
        <w:jc w:val="both"/>
        <w:rPr>
          <w:rFonts w:ascii="Times New Roman" w:eastAsia="Times New Roman" w:hAnsi="Times New Roman" w:cs="Times New Roman"/>
          <w:b/>
          <w:bCs/>
          <w:color w:val="000000"/>
          <w:kern w:val="0"/>
          <w:sz w:val="28"/>
          <w:szCs w:val="28"/>
          <w:lang w:eastAsia="it-IT"/>
          <w14:ligatures w14:val="none"/>
        </w:rPr>
      </w:pPr>
      <w:r w:rsidRPr="004F76E5">
        <w:rPr>
          <w:rFonts w:ascii="Times New Roman" w:eastAsia="Times New Roman" w:hAnsi="Times New Roman" w:cs="Times New Roman"/>
          <w:b/>
          <w:bCs/>
          <w:caps/>
          <w:color w:val="000000"/>
          <w:kern w:val="0"/>
          <w:sz w:val="28"/>
          <w:szCs w:val="28"/>
          <w:lang w:eastAsia="it-IT"/>
          <w14:ligatures w14:val="none"/>
        </w:rPr>
        <w:t>LA LEGGE</w:t>
      </w:r>
    </w:p>
    <w:p w14:paraId="50AEBB64" w14:textId="77777777" w:rsidR="00B965BE" w:rsidRPr="004F76E5" w:rsidRDefault="00B965BE" w:rsidP="00B965BE">
      <w:pPr>
        <w:numPr>
          <w:ilvl w:val="0"/>
          <w:numId w:val="3"/>
        </w:numPr>
        <w:shd w:val="clear" w:color="auto" w:fill="FFFFFF"/>
        <w:spacing w:before="100" w:beforeAutospacing="1" w:after="240" w:line="240" w:lineRule="auto"/>
        <w:ind w:left="953"/>
        <w:jc w:val="both"/>
        <w:rPr>
          <w:rFonts w:ascii="Times New Roman" w:eastAsia="Times New Roman" w:hAnsi="Times New Roman" w:cs="Times New Roman"/>
          <w:b/>
          <w:bCs/>
          <w:cap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PRESUNTA VIOLAZIONE DEGLI ARTICOLI 3 E 8 DELLA CONVENZIONE in relazione alle denunce dei richiedenti per violenza domestica</w:t>
      </w:r>
    </w:p>
    <w:p w14:paraId="5A57DE31" w14:textId="138E650B" w:rsidR="00B965BE" w:rsidRPr="004F76E5" w:rsidRDefault="00B965BE" w:rsidP="00B965B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 xml:space="preserve">50. I richiedenti si sono lamentati che, nonostante le accuse e le segnalazioni di violenza domestica, le autorità non avessero adottato, sia nel procedimento davanti al Tribunale </w:t>
      </w:r>
      <w:r w:rsidR="00D21F64" w:rsidRPr="004F76E5">
        <w:rPr>
          <w:rFonts w:ascii="Times New Roman" w:eastAsia="Times New Roman" w:hAnsi="Times New Roman" w:cs="Times New Roman"/>
          <w:color w:val="000000"/>
          <w:kern w:val="0"/>
          <w:lang w:eastAsia="it-IT"/>
          <w14:ligatures w14:val="none"/>
        </w:rPr>
        <w:t xml:space="preserve">per i Minori </w:t>
      </w:r>
      <w:r w:rsidRPr="004F76E5">
        <w:rPr>
          <w:rFonts w:ascii="Times New Roman" w:eastAsia="Times New Roman" w:hAnsi="Times New Roman" w:cs="Times New Roman"/>
          <w:color w:val="000000"/>
          <w:kern w:val="0"/>
          <w:lang w:eastAsia="it-IT"/>
          <w14:ligatures w14:val="none"/>
        </w:rPr>
        <w:t xml:space="preserve">che nel procedimento penale, misure preventive o di supervisione adeguate in grado di proteggerle dal rischio di ulteriori violenze. Si sono inoltre lamentati che le autorità non avessero condotto un'indagine efficace sulle loro accuse di violenza domestica. In particolare, si lamentarono del mancato, sia del giudice penale che del Tribunale per i </w:t>
      </w:r>
      <w:r w:rsidR="00D21F64" w:rsidRPr="004F76E5">
        <w:rPr>
          <w:rFonts w:ascii="Times New Roman" w:eastAsia="Times New Roman" w:hAnsi="Times New Roman" w:cs="Times New Roman"/>
          <w:color w:val="000000"/>
          <w:kern w:val="0"/>
          <w:lang w:eastAsia="it-IT"/>
          <w14:ligatures w14:val="none"/>
        </w:rPr>
        <w:t>M</w:t>
      </w:r>
      <w:r w:rsidRPr="004F76E5">
        <w:rPr>
          <w:rFonts w:ascii="Times New Roman" w:eastAsia="Times New Roman" w:hAnsi="Times New Roman" w:cs="Times New Roman"/>
          <w:color w:val="000000"/>
          <w:kern w:val="0"/>
          <w:lang w:eastAsia="it-IT"/>
          <w14:ligatures w14:val="none"/>
        </w:rPr>
        <w:t>inori, di valutare tempestivamente le loro richieste in violazione degli Articoli 3 e 8 della Convenzione, che recitavano quanto segue:</w:t>
      </w:r>
    </w:p>
    <w:p w14:paraId="77F3E918" w14:textId="77777777" w:rsidR="00B965BE" w:rsidRPr="004F76E5" w:rsidRDefault="00B965BE" w:rsidP="00B965BE">
      <w:pPr>
        <w:shd w:val="clear" w:color="auto" w:fill="FFFFFF"/>
        <w:spacing w:before="280" w:after="120" w:line="240" w:lineRule="auto"/>
        <w:jc w:val="center"/>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Articolo 3</w:t>
      </w:r>
    </w:p>
    <w:p w14:paraId="6342421D"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"Nessuno sarà sottoposto a torture o a trattamenti disumani o degradanti..."</w:t>
      </w:r>
    </w:p>
    <w:p w14:paraId="7FEF513C" w14:textId="77777777" w:rsidR="00B965BE" w:rsidRPr="004F76E5" w:rsidRDefault="00B965BE" w:rsidP="00B965BE">
      <w:pPr>
        <w:shd w:val="clear" w:color="auto" w:fill="FFFFFF"/>
        <w:spacing w:before="280" w:after="120" w:line="240" w:lineRule="auto"/>
        <w:jc w:val="center"/>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b/>
          <w:bCs/>
          <w:i/>
          <w:iCs/>
          <w:color w:val="000000"/>
          <w:kern w:val="0"/>
          <w:sz w:val="20"/>
          <w:szCs w:val="20"/>
          <w:lang w:eastAsia="it-IT"/>
          <w14:ligatures w14:val="none"/>
        </w:rPr>
        <w:t>Articolo 8</w:t>
      </w:r>
    </w:p>
    <w:p w14:paraId="1B0C70EC" w14:textId="77777777" w:rsidR="00B965BE" w:rsidRPr="004F76E5" w:rsidRDefault="00B965BE" w:rsidP="00B965BE">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lastRenderedPageBreak/>
        <w:t>"1. Ognuno ha il diritto di rispettare la propria vita privata e familiare..."</w:t>
      </w:r>
    </w:p>
    <w:p w14:paraId="691FDC26" w14:textId="77777777" w:rsidR="00D21F64" w:rsidRPr="004F76E5" w:rsidRDefault="00D21F64" w:rsidP="00B965BE">
      <w:pPr>
        <w:shd w:val="clear" w:color="auto" w:fill="FFFFFF"/>
        <w:spacing w:before="280" w:after="240" w:line="240" w:lineRule="auto"/>
        <w:ind w:left="584" w:hanging="352"/>
        <w:jc w:val="both"/>
        <w:rPr>
          <w:rFonts w:ascii="Times New Roman" w:eastAsia="Times New Roman" w:hAnsi="Times New Roman" w:cs="Times New Roman"/>
          <w:b/>
          <w:bCs/>
          <w:color w:val="000000"/>
          <w:kern w:val="0"/>
          <w:lang w:eastAsia="it-IT"/>
          <w14:ligatures w14:val="none"/>
        </w:rPr>
      </w:pPr>
    </w:p>
    <w:p w14:paraId="4754C69B" w14:textId="58C7193B" w:rsidR="00B965BE" w:rsidRPr="004F76E5" w:rsidRDefault="00B965BE" w:rsidP="00B965BE">
      <w:pPr>
        <w:shd w:val="clear" w:color="auto" w:fill="FFFFFF"/>
        <w:spacing w:before="280" w:after="240" w:line="240" w:lineRule="auto"/>
        <w:ind w:left="584" w:hanging="352"/>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A.</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b/>
          <w:bCs/>
          <w:color w:val="000000"/>
          <w:kern w:val="0"/>
          <w:lang w:eastAsia="it-IT"/>
          <w14:ligatures w14:val="none"/>
        </w:rPr>
        <w:t>Ammissibilità</w:t>
      </w:r>
      <w:r w:rsidRPr="004F76E5">
        <w:rPr>
          <w:rFonts w:ascii="Times New Roman" w:eastAsia="Times New Roman" w:hAnsi="Times New Roman" w:cs="Times New Roman"/>
          <w:color w:val="000000"/>
          <w:kern w:val="0"/>
          <w:sz w:val="14"/>
          <w:szCs w:val="14"/>
          <w:lang w:eastAsia="it-IT"/>
          <w14:ligatures w14:val="none"/>
        </w:rPr>
        <w:t>   </w:t>
      </w:r>
    </w:p>
    <w:p w14:paraId="1A53FCFB" w14:textId="77777777" w:rsidR="00B965BE" w:rsidRPr="004F76E5" w:rsidRDefault="00B965BE" w:rsidP="00B965BE">
      <w:pPr>
        <w:shd w:val="clear" w:color="auto" w:fill="FFFFFF"/>
        <w:spacing w:after="120" w:line="240" w:lineRule="auto"/>
        <w:ind w:left="731" w:hanging="30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i/>
          <w:iCs/>
          <w:color w:val="000000"/>
          <w:kern w:val="0"/>
          <w:lang w:eastAsia="it-IT"/>
          <w14:ligatures w14:val="none"/>
        </w:rPr>
        <w:t>1.</w:t>
      </w:r>
      <w:r w:rsidRPr="004F76E5">
        <w:rPr>
          <w:rFonts w:ascii="Times New Roman" w:eastAsia="Times New Roman" w:hAnsi="Times New Roman" w:cs="Times New Roman"/>
          <w:color w:val="000000"/>
          <w:kern w:val="0"/>
          <w:lang w:eastAsia="it-IT"/>
          <w14:ligatures w14:val="none"/>
        </w:rPr>
        <w:t> </w:t>
      </w:r>
      <w:bookmarkStart w:id="28" w:name="_Toc393886264"/>
      <w:r w:rsidRPr="004F76E5">
        <w:rPr>
          <w:rFonts w:ascii="Times New Roman" w:eastAsia="Times New Roman" w:hAnsi="Times New Roman" w:cs="Times New Roman"/>
          <w:b/>
          <w:bCs/>
          <w:i/>
          <w:iCs/>
          <w:color w:val="000000"/>
          <w:kern w:val="0"/>
          <w:lang w:eastAsia="it-IT"/>
          <w14:ligatures w14:val="none"/>
        </w:rPr>
        <w:t>Osservazioni delle parti</w:t>
      </w:r>
      <w:bookmarkEnd w:id="28"/>
      <w:r w:rsidRPr="004F76E5">
        <w:rPr>
          <w:rFonts w:ascii="Times New Roman" w:eastAsia="Times New Roman" w:hAnsi="Times New Roman" w:cs="Times New Roman"/>
          <w:color w:val="000000"/>
          <w:kern w:val="0"/>
          <w:sz w:val="14"/>
          <w:szCs w:val="14"/>
          <w:lang w:eastAsia="it-IT"/>
          <w14:ligatures w14:val="none"/>
        </w:rPr>
        <w:t>  </w:t>
      </w:r>
    </w:p>
    <w:p w14:paraId="51FD0C6E" w14:textId="77777777" w:rsidR="00D21F64" w:rsidRPr="004F76E5" w:rsidRDefault="00D21F64" w:rsidP="00D21F64">
      <w:pPr>
        <w:shd w:val="clear" w:color="auto" w:fill="FFFFFF"/>
        <w:spacing w:after="120" w:line="240" w:lineRule="auto"/>
        <w:ind w:left="975" w:hanging="340"/>
        <w:jc w:val="both"/>
        <w:rPr>
          <w:rFonts w:ascii="Times New Roman" w:eastAsia="Times New Roman" w:hAnsi="Times New Roman" w:cs="Times New Roman"/>
          <w:b/>
          <w:bCs/>
          <w:color w:val="000000"/>
          <w:kern w:val="0"/>
          <w:sz w:val="20"/>
          <w:szCs w:val="20"/>
          <w:lang w:eastAsia="it-IT"/>
          <w14:ligatures w14:val="none"/>
        </w:rPr>
      </w:pPr>
    </w:p>
    <w:p w14:paraId="3D127108" w14:textId="0C87D4D8" w:rsidR="00D21F64" w:rsidRPr="004F76E5" w:rsidRDefault="00D21F64" w:rsidP="00D21F64">
      <w:pPr>
        <w:shd w:val="clear" w:color="auto" w:fill="FFFFFF"/>
        <w:spacing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Il Governo</w:t>
      </w:r>
      <w:r w:rsidRPr="004F76E5">
        <w:rPr>
          <w:rFonts w:ascii="Times New Roman" w:eastAsia="Times New Roman" w:hAnsi="Times New Roman" w:cs="Times New Roman"/>
          <w:color w:val="000000"/>
          <w:kern w:val="0"/>
          <w:sz w:val="14"/>
          <w:szCs w:val="14"/>
          <w:lang w:eastAsia="it-IT"/>
          <w14:ligatures w14:val="none"/>
        </w:rPr>
        <w:t>  </w:t>
      </w:r>
    </w:p>
    <w:p w14:paraId="07871793" w14:textId="106B6C81"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29" w:name="paragraph00051"/>
      <w:r w:rsidRPr="004F76E5">
        <w:rPr>
          <w:rFonts w:ascii="Times New Roman" w:eastAsia="Times New Roman" w:hAnsi="Times New Roman" w:cs="Times New Roman"/>
          <w:b/>
          <w:bCs/>
          <w:color w:val="000000"/>
          <w:kern w:val="0"/>
          <w:lang w:eastAsia="it-IT"/>
          <w14:ligatures w14:val="none"/>
        </w:rPr>
        <w:t>51</w:t>
      </w:r>
      <w:bookmarkEnd w:id="29"/>
      <w:r w:rsidRPr="004F76E5">
        <w:rPr>
          <w:rFonts w:ascii="Times New Roman" w:eastAsia="Times New Roman" w:hAnsi="Times New Roman" w:cs="Times New Roman"/>
          <w:color w:val="000000"/>
          <w:kern w:val="0"/>
          <w:lang w:eastAsia="it-IT"/>
          <w14:ligatures w14:val="none"/>
        </w:rPr>
        <w:t>. Il Governo ha obiettato che, al momento della presentazione della domanda, i richiedenti non avevano esaurito i rimedi domestici. L'obiezione si basava su due elementi: (i) la mancata attesa da parte dei richiedenti alla conclusione sia del procedimento penale sia di quello davanti al Tribunale per i minori; e (ii) il fatto che, nel procedimento davanti al Tribunale per i minori, i richiedenti non avevano sollevato le stesse motivazioni successivamente presentate davanti alla Corte.</w:t>
      </w:r>
    </w:p>
    <w:p w14:paraId="64A029CF" w14:textId="042E4E29" w:rsidR="00D21F64" w:rsidRPr="004F76E5" w:rsidRDefault="00D21F64" w:rsidP="00D21F64">
      <w:pPr>
        <w:shd w:val="clear" w:color="auto" w:fill="FFFFFF"/>
        <w:spacing w:before="280"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(b)</w:t>
      </w:r>
      <w:r w:rsidRPr="004F76E5">
        <w:rPr>
          <w:rFonts w:ascii="Times New Roman" w:eastAsia="Times New Roman" w:hAnsi="Times New Roman" w:cs="Times New Roman"/>
          <w:color w:val="000000"/>
          <w:kern w:val="0"/>
          <w:sz w:val="20"/>
          <w:szCs w:val="20"/>
          <w:lang w:eastAsia="it-IT"/>
          <w14:ligatures w14:val="none"/>
        </w:rPr>
        <w:t> </w:t>
      </w:r>
      <w:bookmarkStart w:id="30" w:name="_Toc393886266"/>
      <w:r w:rsidRPr="004F76E5">
        <w:rPr>
          <w:rFonts w:ascii="Times New Roman" w:eastAsia="Times New Roman" w:hAnsi="Times New Roman" w:cs="Times New Roman"/>
          <w:b/>
          <w:bCs/>
          <w:color w:val="000000"/>
          <w:kern w:val="0"/>
          <w:sz w:val="20"/>
          <w:szCs w:val="20"/>
          <w:lang w:eastAsia="it-IT"/>
          <w14:ligatures w14:val="none"/>
        </w:rPr>
        <w:t>I richiedenti</w:t>
      </w:r>
      <w:bookmarkEnd w:id="30"/>
      <w:r w:rsidRPr="004F76E5">
        <w:rPr>
          <w:rFonts w:ascii="Times New Roman" w:eastAsia="Times New Roman" w:hAnsi="Times New Roman" w:cs="Times New Roman"/>
          <w:color w:val="000000"/>
          <w:kern w:val="0"/>
          <w:sz w:val="14"/>
          <w:szCs w:val="14"/>
          <w:lang w:eastAsia="it-IT"/>
          <w14:ligatures w14:val="none"/>
        </w:rPr>
        <w:t>  </w:t>
      </w:r>
    </w:p>
    <w:p w14:paraId="6F70C802" w14:textId="4A69CF95"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52.</w:t>
      </w:r>
      <w:r w:rsidRPr="004F76E5">
        <w:rPr>
          <w:rFonts w:ascii="Times New Roman" w:eastAsia="Times New Roman" w:hAnsi="Times New Roman" w:cs="Times New Roman"/>
          <w:color w:val="000000"/>
          <w:kern w:val="0"/>
          <w:lang w:eastAsia="it-IT"/>
          <w14:ligatures w14:val="none"/>
        </w:rPr>
        <w:t> I richiedenti si opposero alla richiesta del Governo di non esaurimento dei rimedi interni. In particolare, si riferivano alla giurisprudenza consolidata della Corte (</w:t>
      </w:r>
      <w:bookmarkStart w:id="31" w:name="_cl28848THELAW"/>
      <w:r w:rsidRPr="004F76E5">
        <w:rPr>
          <w:rFonts w:ascii="Times New Roman" w:eastAsia="Times New Roman" w:hAnsi="Times New Roman" w:cs="Times New Roman"/>
          <w:color w:val="000000"/>
          <w:kern w:val="0"/>
          <w:lang w:eastAsia="it-IT"/>
          <w14:ligatures w14:val="none"/>
        </w:rPr>
        <w:t>vedi </w:t>
      </w:r>
      <w:proofErr w:type="spellStart"/>
      <w:r w:rsidRPr="004F76E5">
        <w:rPr>
          <w:rFonts w:ascii="Times New Roman" w:eastAsia="Times New Roman" w:hAnsi="Times New Roman" w:cs="Times New Roman"/>
          <w:i/>
          <w:iCs/>
          <w:color w:val="000000"/>
          <w:kern w:val="0"/>
          <w:lang w:eastAsia="it-IT"/>
          <w14:ligatures w14:val="none"/>
        </w:rPr>
        <w:t>Karoussiotis</w:t>
      </w:r>
      <w:proofErr w:type="spellEnd"/>
      <w:r w:rsidRPr="004F76E5">
        <w:rPr>
          <w:rFonts w:ascii="Times New Roman" w:eastAsia="Times New Roman" w:hAnsi="Times New Roman" w:cs="Times New Roman"/>
          <w:i/>
          <w:iCs/>
          <w:color w:val="000000"/>
          <w:kern w:val="0"/>
          <w:lang w:eastAsia="it-IT"/>
          <w14:ligatures w14:val="none"/>
        </w:rPr>
        <w:t xml:space="preserve"> contro Portuga</w:t>
      </w:r>
      <w:bookmarkEnd w:id="31"/>
      <w:r w:rsidRPr="004F76E5">
        <w:rPr>
          <w:rFonts w:ascii="Times New Roman" w:eastAsia="Times New Roman" w:hAnsi="Times New Roman" w:cs="Times New Roman"/>
          <w:i/>
          <w:iCs/>
          <w:color w:val="000000"/>
          <w:kern w:val="0"/>
          <w:lang w:eastAsia="it-IT"/>
          <w14:ligatures w14:val="none"/>
        </w:rPr>
        <w:t>l</w:t>
      </w:r>
      <w:r w:rsidRPr="004F76E5">
        <w:rPr>
          <w:rFonts w:ascii="Times New Roman" w:eastAsia="Times New Roman" w:hAnsi="Times New Roman" w:cs="Times New Roman"/>
          <w:color w:val="000000"/>
          <w:kern w:val="0"/>
          <w:lang w:eastAsia="it-IT"/>
          <w14:ligatures w14:val="none"/>
        </w:rPr>
        <w:t>, n. </w:t>
      </w:r>
      <w:hyperlink r:id="rId13" w:anchor="{%22appno%22:[%2223205/08%22]}" w:tgtFrame="_blank" w:history="1">
        <w:r w:rsidRPr="004F76E5">
          <w:rPr>
            <w:rFonts w:ascii="Times New Roman" w:eastAsia="Times New Roman" w:hAnsi="Times New Roman" w:cs="Times New Roman"/>
            <w:color w:val="0069D6"/>
            <w:kern w:val="0"/>
            <w:u w:val="single"/>
            <w:lang w:eastAsia="it-IT"/>
            <w14:ligatures w14:val="none"/>
          </w:rPr>
          <w:t>23205/08</w:t>
        </w:r>
      </w:hyperlink>
      <w:r w:rsidRPr="004F76E5">
        <w:rPr>
          <w:rFonts w:ascii="Times New Roman" w:eastAsia="Times New Roman" w:hAnsi="Times New Roman" w:cs="Times New Roman"/>
          <w:color w:val="000000"/>
          <w:kern w:val="0"/>
          <w:lang w:eastAsia="it-IT"/>
          <w14:ligatures w14:val="none"/>
        </w:rPr>
        <w:t>, §§ 57 e 87-92, CEDU 2011, </w:t>
      </w:r>
      <w:bookmarkStart w:id="32" w:name="_cl40627THELAW"/>
      <w:r w:rsidRPr="004F76E5">
        <w:rPr>
          <w:rFonts w:ascii="Times New Roman" w:eastAsia="Times New Roman" w:hAnsi="Times New Roman" w:cs="Times New Roman"/>
          <w:color w:val="000000"/>
          <w:kern w:val="0"/>
          <w:lang w:eastAsia="it-IT"/>
          <w14:ligatures w14:val="none"/>
        </w:rPr>
        <w:t>e </w:t>
      </w:r>
      <w:r w:rsidRPr="004F76E5">
        <w:rPr>
          <w:rFonts w:ascii="Times New Roman" w:eastAsia="Times New Roman" w:hAnsi="Times New Roman" w:cs="Times New Roman"/>
          <w:i/>
          <w:iCs/>
          <w:color w:val="000000"/>
          <w:kern w:val="0"/>
          <w:lang w:eastAsia="it-IT"/>
          <w14:ligatures w14:val="none"/>
        </w:rPr>
        <w:t>A.I. contro Italia</w:t>
      </w:r>
      <w:bookmarkEnd w:id="32"/>
      <w:r w:rsidRPr="004F76E5">
        <w:rPr>
          <w:rFonts w:ascii="Times New Roman" w:eastAsia="Times New Roman" w:hAnsi="Times New Roman" w:cs="Times New Roman"/>
          <w:color w:val="000000"/>
          <w:kern w:val="0"/>
          <w:lang w:eastAsia="it-IT"/>
          <w14:ligatures w14:val="none"/>
        </w:rPr>
        <w:t>, n. </w:t>
      </w:r>
      <w:hyperlink r:id="rId14" w:anchor="{%22appno%22:[%2270896/17%22]}" w:tgtFrame="_blank" w:history="1">
        <w:r w:rsidRPr="004F76E5">
          <w:rPr>
            <w:rFonts w:ascii="Times New Roman" w:eastAsia="Times New Roman" w:hAnsi="Times New Roman" w:cs="Times New Roman"/>
            <w:color w:val="0069D6"/>
            <w:kern w:val="0"/>
            <w:u w:val="single"/>
            <w:lang w:eastAsia="it-IT"/>
            <w14:ligatures w14:val="none"/>
          </w:rPr>
          <w:t>70896/17</w:t>
        </w:r>
      </w:hyperlink>
      <w:r w:rsidRPr="004F76E5">
        <w:rPr>
          <w:rFonts w:ascii="Times New Roman" w:eastAsia="Times New Roman" w:hAnsi="Times New Roman" w:cs="Times New Roman"/>
          <w:color w:val="000000"/>
          <w:kern w:val="0"/>
          <w:lang w:eastAsia="it-IT"/>
          <w14:ligatures w14:val="none"/>
        </w:rPr>
        <w:t>, § 60 e segg., 1 aprile 2021) secondo cui l'obiezione di mancata esaurimento perse la sua rilevanza una volta concluso il procedimento.</w:t>
      </w:r>
    </w:p>
    <w:p w14:paraId="54B5DE73" w14:textId="77777777" w:rsidR="00D21F64" w:rsidRPr="004F76E5" w:rsidRDefault="00D21F64" w:rsidP="00D21F64">
      <w:pPr>
        <w:shd w:val="clear" w:color="auto" w:fill="FFFFFF"/>
        <w:spacing w:before="280" w:after="120" w:line="240" w:lineRule="auto"/>
        <w:ind w:left="680" w:hanging="340"/>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b/>
          <w:bCs/>
          <w:i/>
          <w:iCs/>
          <w:color w:val="000000"/>
          <w:kern w:val="0"/>
          <w:lang w:eastAsia="it-IT"/>
          <w14:ligatures w14:val="none"/>
        </w:rPr>
        <w:t>2.</w:t>
      </w:r>
      <w:r w:rsidRPr="004F76E5">
        <w:rPr>
          <w:rFonts w:ascii="Times New Roman" w:eastAsia="Times New Roman" w:hAnsi="Times New Roman" w:cs="Times New Roman"/>
          <w:b/>
          <w:bCs/>
          <w:color w:val="000000"/>
          <w:kern w:val="0"/>
          <w:lang w:eastAsia="it-IT"/>
          <w14:ligatures w14:val="none"/>
        </w:rPr>
        <w:t> </w:t>
      </w:r>
      <w:bookmarkStart w:id="33" w:name="_Toc393886267"/>
      <w:r w:rsidRPr="004F76E5">
        <w:rPr>
          <w:rFonts w:ascii="Times New Roman" w:eastAsia="Times New Roman" w:hAnsi="Times New Roman" w:cs="Times New Roman"/>
          <w:b/>
          <w:bCs/>
          <w:i/>
          <w:iCs/>
          <w:color w:val="000000"/>
          <w:kern w:val="0"/>
          <w:lang w:eastAsia="it-IT"/>
          <w14:ligatures w14:val="none"/>
        </w:rPr>
        <w:t>La valutazione della Corte</w:t>
      </w:r>
      <w:bookmarkEnd w:id="33"/>
      <w:r w:rsidRPr="004F76E5">
        <w:rPr>
          <w:rFonts w:ascii="Times New Roman" w:eastAsia="Times New Roman" w:hAnsi="Times New Roman" w:cs="Times New Roman"/>
          <w:b/>
          <w:bCs/>
          <w:color w:val="000000"/>
          <w:kern w:val="0"/>
          <w:sz w:val="14"/>
          <w:szCs w:val="14"/>
          <w:lang w:eastAsia="it-IT"/>
          <w14:ligatures w14:val="none"/>
        </w:rPr>
        <w:t>    </w:t>
      </w:r>
    </w:p>
    <w:p w14:paraId="6023C701" w14:textId="1B5A3154"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34" w:name="paragraph00053"/>
      <w:r w:rsidRPr="004F76E5">
        <w:rPr>
          <w:rFonts w:ascii="Times New Roman" w:eastAsia="Times New Roman" w:hAnsi="Times New Roman" w:cs="Times New Roman"/>
          <w:b/>
          <w:bCs/>
          <w:color w:val="000000"/>
          <w:kern w:val="0"/>
          <w:lang w:eastAsia="it-IT"/>
          <w14:ligatures w14:val="none"/>
        </w:rPr>
        <w:t>53</w:t>
      </w:r>
      <w:bookmarkEnd w:id="34"/>
      <w:r w:rsidRPr="004F76E5">
        <w:rPr>
          <w:rFonts w:ascii="Times New Roman" w:eastAsia="Times New Roman" w:hAnsi="Times New Roman" w:cs="Times New Roman"/>
          <w:color w:val="000000"/>
          <w:kern w:val="0"/>
          <w:lang w:eastAsia="it-IT"/>
          <w14:ligatures w14:val="none"/>
        </w:rPr>
        <w:t>. La Corte ribadisce che, di norma, il richiedente è tenuto a tentare sinceramente di esaurire i rimedi interni disponibili prima di presentare una domanda al Tribunale. Sebbene il rispetto di questo obbligo venga valutato alla data dell'introduzione della domanda (vedi </w:t>
      </w:r>
      <w:r w:rsidRPr="004F76E5">
        <w:rPr>
          <w:rFonts w:ascii="Times New Roman" w:eastAsia="Times New Roman" w:hAnsi="Times New Roman" w:cs="Times New Roman"/>
          <w:i/>
          <w:iCs/>
          <w:color w:val="000000"/>
          <w:kern w:val="0"/>
          <w:lang w:eastAsia="it-IT"/>
          <w14:ligatures w14:val="none"/>
        </w:rPr>
        <w:t>Baumann v. Francia</w:t>
      </w:r>
      <w:r w:rsidRPr="004F76E5">
        <w:rPr>
          <w:rFonts w:ascii="Times New Roman" w:eastAsia="Times New Roman" w:hAnsi="Times New Roman" w:cs="Times New Roman"/>
          <w:color w:val="000000"/>
          <w:kern w:val="0"/>
          <w:lang w:eastAsia="it-IT"/>
          <w14:ligatures w14:val="none"/>
        </w:rPr>
        <w:t>, no. </w:t>
      </w:r>
      <w:hyperlink r:id="rId15" w:anchor="{%22appno%22:[%2233592/96%22]}" w:tgtFrame="_blank" w:history="1">
        <w:r w:rsidRPr="004F76E5">
          <w:rPr>
            <w:rFonts w:ascii="Times New Roman" w:eastAsia="Times New Roman" w:hAnsi="Times New Roman" w:cs="Times New Roman"/>
            <w:color w:val="0069D6"/>
            <w:kern w:val="0"/>
            <w:u w:val="single"/>
            <w:lang w:eastAsia="it-IT"/>
            <w14:ligatures w14:val="none"/>
          </w:rPr>
          <w:t>33592/96</w:t>
        </w:r>
      </w:hyperlink>
      <w:r w:rsidRPr="004F76E5">
        <w:rPr>
          <w:rFonts w:ascii="Times New Roman" w:eastAsia="Times New Roman" w:hAnsi="Times New Roman" w:cs="Times New Roman"/>
          <w:color w:val="000000"/>
          <w:kern w:val="0"/>
          <w:lang w:eastAsia="it-IT"/>
          <w14:ligatures w14:val="none"/>
        </w:rPr>
        <w:t>, § 47, CEDU 2001-V), la Corte accetta che la fase finale di tali rimedi possa essere raggiunta poco dopo la presentazione della richiesta, ma prima che la Corte si pronunci sulla sua ammissibilità (vedi </w:t>
      </w:r>
      <w:proofErr w:type="spellStart"/>
      <w:r w:rsidRPr="004F76E5">
        <w:rPr>
          <w:rFonts w:ascii="Times New Roman" w:eastAsia="Times New Roman" w:hAnsi="Times New Roman" w:cs="Times New Roman"/>
          <w:i/>
          <w:iCs/>
          <w:color w:val="000000"/>
          <w:kern w:val="0"/>
          <w:lang w:eastAsia="it-IT"/>
          <w14:ligatures w14:val="none"/>
        </w:rPr>
        <w:t>Ringeisen</w:t>
      </w:r>
      <w:proofErr w:type="spellEnd"/>
      <w:r w:rsidRPr="004F76E5">
        <w:rPr>
          <w:rFonts w:ascii="Times New Roman" w:eastAsia="Times New Roman" w:hAnsi="Times New Roman" w:cs="Times New Roman"/>
          <w:i/>
          <w:iCs/>
          <w:color w:val="000000"/>
          <w:kern w:val="0"/>
          <w:lang w:eastAsia="it-IT"/>
          <w14:ligatures w14:val="none"/>
        </w:rPr>
        <w:t xml:space="preserve"> contro Austria</w:t>
      </w:r>
      <w:r w:rsidRPr="004F76E5">
        <w:rPr>
          <w:rFonts w:ascii="Times New Roman" w:eastAsia="Times New Roman" w:hAnsi="Times New Roman" w:cs="Times New Roman"/>
          <w:color w:val="000000"/>
          <w:kern w:val="0"/>
          <w:lang w:eastAsia="it-IT"/>
          <w14:ligatures w14:val="none"/>
        </w:rPr>
        <w:t>, 16 luglio 1971, § 91, Serie A n. 13; </w:t>
      </w:r>
      <w:r w:rsidRPr="004F76E5">
        <w:rPr>
          <w:rFonts w:ascii="Times New Roman" w:eastAsia="Times New Roman" w:hAnsi="Times New Roman" w:cs="Times New Roman"/>
          <w:i/>
          <w:iCs/>
          <w:color w:val="000000"/>
          <w:kern w:val="0"/>
          <w:lang w:eastAsia="it-IT"/>
          <w14:ligatures w14:val="none"/>
        </w:rPr>
        <w:t>E.K. contro Turchia</w:t>
      </w:r>
      <w:r w:rsidRPr="004F76E5">
        <w:rPr>
          <w:rFonts w:ascii="Times New Roman" w:eastAsia="Times New Roman" w:hAnsi="Times New Roman" w:cs="Times New Roman"/>
          <w:color w:val="000000"/>
          <w:kern w:val="0"/>
          <w:lang w:eastAsia="it-IT"/>
          <w14:ligatures w14:val="none"/>
        </w:rPr>
        <w:t> (</w:t>
      </w:r>
      <w:proofErr w:type="spellStart"/>
      <w:r w:rsidRPr="004F76E5">
        <w:rPr>
          <w:rFonts w:ascii="Times New Roman" w:eastAsia="Times New Roman" w:hAnsi="Times New Roman" w:cs="Times New Roman"/>
          <w:color w:val="000000"/>
          <w:kern w:val="0"/>
          <w:lang w:eastAsia="it-IT"/>
          <w14:ligatures w14:val="none"/>
        </w:rPr>
        <w:t>dec</w:t>
      </w:r>
      <w:proofErr w:type="spellEnd"/>
      <w:r w:rsidRPr="004F76E5">
        <w:rPr>
          <w:rFonts w:ascii="Times New Roman" w:eastAsia="Times New Roman" w:hAnsi="Times New Roman" w:cs="Times New Roman"/>
          <w:color w:val="000000"/>
          <w:kern w:val="0"/>
          <w:lang w:eastAsia="it-IT"/>
          <w14:ligatures w14:val="none"/>
        </w:rPr>
        <w:t>.), n. </w:t>
      </w:r>
      <w:hyperlink r:id="rId16" w:anchor="{%22appno%22:[%2228496/95%22]}" w:tgtFrame="_blank" w:history="1">
        <w:r w:rsidRPr="004F76E5">
          <w:rPr>
            <w:rFonts w:ascii="Times New Roman" w:eastAsia="Times New Roman" w:hAnsi="Times New Roman" w:cs="Times New Roman"/>
            <w:color w:val="0069D6"/>
            <w:kern w:val="0"/>
            <w:u w:val="single"/>
            <w:lang w:eastAsia="it-IT"/>
            <w14:ligatures w14:val="none"/>
          </w:rPr>
          <w:t>28496/95</w:t>
        </w:r>
      </w:hyperlink>
      <w:r w:rsidRPr="004F76E5">
        <w:rPr>
          <w:rFonts w:ascii="Times New Roman" w:eastAsia="Times New Roman" w:hAnsi="Times New Roman" w:cs="Times New Roman"/>
          <w:color w:val="000000"/>
          <w:kern w:val="0"/>
          <w:lang w:eastAsia="it-IT"/>
          <w14:ligatures w14:val="none"/>
        </w:rPr>
        <w:t>, 28 novembre 2000; </w:t>
      </w:r>
      <w:proofErr w:type="spellStart"/>
      <w:r w:rsidRPr="004F76E5">
        <w:rPr>
          <w:rFonts w:ascii="Times New Roman" w:eastAsia="Times New Roman" w:hAnsi="Times New Roman" w:cs="Times New Roman"/>
          <w:i/>
          <w:iCs/>
          <w:color w:val="000000"/>
          <w:kern w:val="0"/>
          <w:lang w:eastAsia="it-IT"/>
          <w14:ligatures w14:val="none"/>
        </w:rPr>
        <w:t>Karoussiotis</w:t>
      </w:r>
      <w:proofErr w:type="spellEnd"/>
      <w:r w:rsidRPr="004F76E5">
        <w:rPr>
          <w:rFonts w:ascii="Times New Roman" w:eastAsia="Times New Roman" w:hAnsi="Times New Roman" w:cs="Times New Roman"/>
          <w:color w:val="000000"/>
          <w:kern w:val="0"/>
          <w:lang w:eastAsia="it-IT"/>
          <w14:ligatures w14:val="none"/>
        </w:rPr>
        <w:t>,</w:t>
      </w:r>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citato sopra, §§ 57 e 87-92; </w:t>
      </w:r>
      <w:proofErr w:type="spellStart"/>
      <w:r w:rsidRPr="004F76E5">
        <w:rPr>
          <w:rFonts w:ascii="Times New Roman" w:eastAsia="Times New Roman" w:hAnsi="Times New Roman" w:cs="Times New Roman"/>
          <w:i/>
          <w:iCs/>
          <w:color w:val="000000"/>
          <w:kern w:val="0"/>
          <w:lang w:eastAsia="it-IT"/>
          <w14:ligatures w14:val="none"/>
        </w:rPr>
        <w:t>Rafaa</w:t>
      </w:r>
      <w:proofErr w:type="spellEnd"/>
      <w:r w:rsidRPr="004F76E5">
        <w:rPr>
          <w:rFonts w:ascii="Times New Roman" w:eastAsia="Times New Roman" w:hAnsi="Times New Roman" w:cs="Times New Roman"/>
          <w:i/>
          <w:iCs/>
          <w:color w:val="000000"/>
          <w:kern w:val="0"/>
          <w:lang w:eastAsia="it-IT"/>
          <w14:ligatures w14:val="none"/>
        </w:rPr>
        <w:t xml:space="preserve"> contro Francia</w:t>
      </w:r>
      <w:r w:rsidRPr="004F76E5">
        <w:rPr>
          <w:rFonts w:ascii="Times New Roman" w:eastAsia="Times New Roman" w:hAnsi="Times New Roman" w:cs="Times New Roman"/>
          <w:color w:val="000000"/>
          <w:kern w:val="0"/>
          <w:lang w:eastAsia="it-IT"/>
          <w14:ligatures w14:val="none"/>
        </w:rPr>
        <w:t>, no. </w:t>
      </w:r>
      <w:hyperlink r:id="rId17" w:anchor="{%22appno%22:[%2225393/10%22]}" w:tgtFrame="_blank" w:history="1">
        <w:r w:rsidRPr="004F76E5">
          <w:rPr>
            <w:rFonts w:ascii="Times New Roman" w:eastAsia="Times New Roman" w:hAnsi="Times New Roman" w:cs="Times New Roman"/>
            <w:color w:val="0069D6"/>
            <w:kern w:val="0"/>
            <w:u w:val="single"/>
            <w:lang w:eastAsia="it-IT"/>
            <w14:ligatures w14:val="none"/>
          </w:rPr>
          <w:t>25393/10</w:t>
        </w:r>
      </w:hyperlink>
      <w:r w:rsidRPr="004F76E5">
        <w:rPr>
          <w:rFonts w:ascii="Times New Roman" w:eastAsia="Times New Roman" w:hAnsi="Times New Roman" w:cs="Times New Roman"/>
          <w:color w:val="000000"/>
          <w:kern w:val="0"/>
          <w:lang w:eastAsia="it-IT"/>
          <w14:ligatures w14:val="none"/>
        </w:rPr>
        <w:t>, § 33, 30 maggio 2013; </w:t>
      </w:r>
      <w:proofErr w:type="spellStart"/>
      <w:r w:rsidRPr="004F76E5">
        <w:rPr>
          <w:rFonts w:ascii="Times New Roman" w:eastAsia="Times New Roman" w:hAnsi="Times New Roman" w:cs="Times New Roman"/>
          <w:i/>
          <w:iCs/>
          <w:color w:val="000000"/>
          <w:kern w:val="0"/>
          <w:lang w:eastAsia="it-IT"/>
          <w14:ligatures w14:val="none"/>
        </w:rPr>
        <w:t>Stanka</w:t>
      </w:r>
      <w:proofErr w:type="spellEnd"/>
      <w:r w:rsidRPr="004F76E5">
        <w:rPr>
          <w:rFonts w:ascii="Times New Roman" w:eastAsia="Times New Roman" w:hAnsi="Times New Roman" w:cs="Times New Roman"/>
          <w:i/>
          <w:iCs/>
          <w:color w:val="000000"/>
          <w:kern w:val="0"/>
          <w:lang w:eastAsia="it-IT"/>
          <w14:ligatures w14:val="none"/>
        </w:rPr>
        <w:t xml:space="preserve"> </w:t>
      </w:r>
      <w:proofErr w:type="spellStart"/>
      <w:r w:rsidRPr="004F76E5">
        <w:rPr>
          <w:rFonts w:ascii="Times New Roman" w:eastAsia="Times New Roman" w:hAnsi="Times New Roman" w:cs="Times New Roman"/>
          <w:i/>
          <w:iCs/>
          <w:color w:val="000000"/>
          <w:kern w:val="0"/>
          <w:lang w:eastAsia="it-IT"/>
          <w14:ligatures w14:val="none"/>
        </w:rPr>
        <w:t>Mirković</w:t>
      </w:r>
      <w:proofErr w:type="spellEnd"/>
      <w:r w:rsidRPr="004F76E5">
        <w:rPr>
          <w:rFonts w:ascii="Times New Roman" w:eastAsia="Times New Roman" w:hAnsi="Times New Roman" w:cs="Times New Roman"/>
          <w:i/>
          <w:iCs/>
          <w:color w:val="000000"/>
          <w:kern w:val="0"/>
          <w:lang w:eastAsia="it-IT"/>
          <w14:ligatures w14:val="none"/>
        </w:rPr>
        <w:t xml:space="preserve"> e altri contro Montenegro</w:t>
      </w:r>
      <w:r w:rsidRPr="004F76E5">
        <w:rPr>
          <w:rFonts w:ascii="Times New Roman" w:eastAsia="Times New Roman" w:hAnsi="Times New Roman" w:cs="Times New Roman"/>
          <w:color w:val="000000"/>
          <w:kern w:val="0"/>
          <w:lang w:eastAsia="it-IT"/>
          <w14:ligatures w14:val="none"/>
        </w:rPr>
        <w:t>, n. </w:t>
      </w:r>
      <w:hyperlink r:id="rId18" w:anchor="{%22appno%22:[%2233781/15%22]}" w:tgtFrame="_blank" w:history="1">
        <w:r w:rsidRPr="004F76E5">
          <w:rPr>
            <w:rFonts w:ascii="Times New Roman" w:eastAsia="Times New Roman" w:hAnsi="Times New Roman" w:cs="Times New Roman"/>
            <w:color w:val="0069D6"/>
            <w:kern w:val="0"/>
            <w:u w:val="single"/>
            <w:lang w:eastAsia="it-IT"/>
            <w14:ligatures w14:val="none"/>
          </w:rPr>
          <w:t>33781/15</w:t>
        </w:r>
      </w:hyperlink>
      <w:r w:rsidRPr="004F76E5">
        <w:rPr>
          <w:rFonts w:ascii="Times New Roman" w:eastAsia="Times New Roman" w:hAnsi="Times New Roman" w:cs="Times New Roman"/>
          <w:color w:val="000000"/>
          <w:kern w:val="0"/>
          <w:lang w:eastAsia="it-IT"/>
          <w14:ligatures w14:val="none"/>
        </w:rPr>
        <w:t> e 3 altri, § 48, 7 marzo 2017; e </w:t>
      </w:r>
      <w:r w:rsidRPr="004F76E5">
        <w:rPr>
          <w:rFonts w:ascii="Times New Roman" w:eastAsia="Times New Roman" w:hAnsi="Times New Roman" w:cs="Times New Roman"/>
          <w:i/>
          <w:iCs/>
          <w:color w:val="000000"/>
          <w:kern w:val="0"/>
          <w:lang w:eastAsia="it-IT"/>
          <w14:ligatures w14:val="none"/>
        </w:rPr>
        <w:t>Mehmet Hasan Altan contro Turchia</w:t>
      </w:r>
      <w:r w:rsidRPr="004F76E5">
        <w:rPr>
          <w:rFonts w:ascii="Times New Roman" w:eastAsia="Times New Roman" w:hAnsi="Times New Roman" w:cs="Times New Roman"/>
          <w:color w:val="000000"/>
          <w:kern w:val="0"/>
          <w:lang w:eastAsia="it-IT"/>
          <w14:ligatures w14:val="none"/>
        </w:rPr>
        <w:t>, n. </w:t>
      </w:r>
      <w:hyperlink r:id="rId19" w:anchor="{%22appno%22:[%2213237/17%22]}" w:tgtFrame="_blank" w:history="1">
        <w:r w:rsidRPr="004F76E5">
          <w:rPr>
            <w:rFonts w:ascii="Times New Roman" w:eastAsia="Times New Roman" w:hAnsi="Times New Roman" w:cs="Times New Roman"/>
            <w:color w:val="0069D6"/>
            <w:kern w:val="0"/>
            <w:u w:val="single"/>
            <w:lang w:eastAsia="it-IT"/>
            <w14:ligatures w14:val="none"/>
          </w:rPr>
          <w:t>13237/17</w:t>
        </w:r>
      </w:hyperlink>
      <w:r w:rsidRPr="004F76E5">
        <w:rPr>
          <w:rFonts w:ascii="Times New Roman" w:eastAsia="Times New Roman" w:hAnsi="Times New Roman" w:cs="Times New Roman"/>
          <w:color w:val="000000"/>
          <w:kern w:val="0"/>
          <w:lang w:eastAsia="it-IT"/>
          <w14:ligatures w14:val="none"/>
        </w:rPr>
        <w:t>, §§ 107-09, 20 marzo 2018).</w:t>
      </w:r>
    </w:p>
    <w:p w14:paraId="57965A69" w14:textId="5954FF9C"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35" w:name="paragraph00054"/>
      <w:r w:rsidRPr="004F76E5">
        <w:rPr>
          <w:rFonts w:ascii="Times New Roman" w:eastAsia="Times New Roman" w:hAnsi="Times New Roman" w:cs="Times New Roman"/>
          <w:b/>
          <w:bCs/>
          <w:color w:val="000000"/>
          <w:kern w:val="0"/>
          <w:lang w:eastAsia="it-IT"/>
          <w14:ligatures w14:val="none"/>
        </w:rPr>
        <w:t>54</w:t>
      </w:r>
      <w:bookmarkEnd w:id="35"/>
      <w:r w:rsidRPr="004F76E5">
        <w:rPr>
          <w:rFonts w:ascii="Times New Roman" w:eastAsia="Times New Roman" w:hAnsi="Times New Roman" w:cs="Times New Roman"/>
          <w:color w:val="000000"/>
          <w:kern w:val="0"/>
          <w:lang w:eastAsia="it-IT"/>
          <w14:ligatures w14:val="none"/>
        </w:rPr>
        <w:t>. Di conseguenza, il Tribunale osserva, in riferimento ai procedimenti davanti al Tribunale dei minori relativi alla custodia del secondo e terzo richiedente e alla responsabilità genitoriale del GP, che il primo richiedente ha presentato la richiesta mentre il procedimento riguardante la custodia dei minori era ancora pendente presso il tribunale minorile, a seguito dell'adozione da parte di tale tribunale di una decisione provvisoria che sospendeva la responsabilità genitoriale del GP. La Corte osserva inoltre che non è contestato che il 9 maggio 2024 (vedi paragrafo 35 sopra), cioè prima di qualsiasi decisione della Corte sull'ammissibilità del caso, il Tribunale dei Minori abbia concluso il procedimento di affidamento dichiarando che il G.P. era privato della responsabilità genitoriale.</w:t>
      </w:r>
    </w:p>
    <w:p w14:paraId="3E17614F"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36" w:name="paragraph00055"/>
      <w:r w:rsidRPr="004F76E5">
        <w:rPr>
          <w:rFonts w:ascii="Times New Roman" w:eastAsia="Times New Roman" w:hAnsi="Times New Roman" w:cs="Times New Roman"/>
          <w:b/>
          <w:bCs/>
          <w:color w:val="000000"/>
          <w:kern w:val="0"/>
          <w:lang w:eastAsia="it-IT"/>
          <w14:ligatures w14:val="none"/>
        </w:rPr>
        <w:t>55</w:t>
      </w:r>
      <w:bookmarkEnd w:id="36"/>
      <w:r w:rsidRPr="004F76E5">
        <w:rPr>
          <w:rFonts w:ascii="Times New Roman" w:eastAsia="Times New Roman" w:hAnsi="Times New Roman" w:cs="Times New Roman"/>
          <w:color w:val="000000"/>
          <w:kern w:val="0"/>
          <w:lang w:eastAsia="it-IT"/>
          <w14:ligatures w14:val="none"/>
        </w:rPr>
        <w:t>. In queste circostanze, la Corte ritiene che l'obiezione del Governo di non esaurimento dei rimedi domestici in relazione al procedimento davanti al Tribunale Minorile non può essere accolta. Inoltre, la Corte osserva che le rinunce sollevate nel presente caso erano state anch'esse presenti davanti ai tribunali nazionali.</w:t>
      </w:r>
    </w:p>
    <w:p w14:paraId="21FCF482" w14:textId="43D549F8"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37" w:name="paragraph00056"/>
      <w:r w:rsidRPr="004F76E5">
        <w:rPr>
          <w:rFonts w:ascii="Times New Roman" w:eastAsia="Times New Roman" w:hAnsi="Times New Roman" w:cs="Times New Roman"/>
          <w:b/>
          <w:bCs/>
          <w:color w:val="000000"/>
          <w:kern w:val="0"/>
          <w:lang w:eastAsia="it-IT"/>
          <w14:ligatures w14:val="none"/>
        </w:rPr>
        <w:t>56</w:t>
      </w:r>
      <w:bookmarkEnd w:id="37"/>
      <w:r w:rsidRPr="004F76E5">
        <w:rPr>
          <w:rFonts w:ascii="Times New Roman" w:eastAsia="Times New Roman" w:hAnsi="Times New Roman" w:cs="Times New Roman"/>
          <w:color w:val="000000"/>
          <w:kern w:val="0"/>
          <w:lang w:eastAsia="it-IT"/>
          <w14:ligatures w14:val="none"/>
        </w:rPr>
        <w:t>. Per quanto riguarda l'obiezione di non esaurimento dei rimedi interni relativi al procedimento penale, la Corte osserva che l'obiezione del Governo solleva questioni riguardanti l'efficacia dell'indagine sulle accuse di maltrattamenti e violenza sessuale della prima ricorrente ed è quindi strettamente legata al suo reclamo nell'aspetto procedurale dell'articolo 3 della Convenzione. Detto ciò, la Corte ritiene che debba essere collegata al merito di tale ricorso (vedi, </w:t>
      </w:r>
      <w:proofErr w:type="spellStart"/>
      <w:r w:rsidRPr="004F76E5">
        <w:rPr>
          <w:rFonts w:ascii="Times New Roman" w:eastAsia="Times New Roman" w:hAnsi="Times New Roman" w:cs="Times New Roman"/>
          <w:i/>
          <w:iCs/>
          <w:color w:val="000000"/>
          <w:kern w:val="0"/>
          <w:lang w:eastAsia="it-IT"/>
          <w14:ligatures w14:val="none"/>
        </w:rPr>
        <w:t>mutatis</w:t>
      </w:r>
      <w:proofErr w:type="spellEnd"/>
      <w:r w:rsidRPr="004F76E5">
        <w:rPr>
          <w:rFonts w:ascii="Times New Roman" w:eastAsia="Times New Roman" w:hAnsi="Times New Roman" w:cs="Times New Roman"/>
          <w:i/>
          <w:iCs/>
          <w:color w:val="000000"/>
          <w:kern w:val="0"/>
          <w:lang w:eastAsia="it-IT"/>
          <w14:ligatures w14:val="none"/>
        </w:rPr>
        <w:t xml:space="preserve"> </w:t>
      </w:r>
      <w:proofErr w:type="spellStart"/>
      <w:r w:rsidRPr="004F76E5">
        <w:rPr>
          <w:rFonts w:ascii="Times New Roman" w:eastAsia="Times New Roman" w:hAnsi="Times New Roman" w:cs="Times New Roman"/>
          <w:i/>
          <w:iCs/>
          <w:color w:val="000000"/>
          <w:kern w:val="0"/>
          <w:lang w:eastAsia="it-IT"/>
          <w14:ligatures w14:val="none"/>
        </w:rPr>
        <w:lastRenderedPageBreak/>
        <w:t>mutandis</w:t>
      </w:r>
      <w:proofErr w:type="spellEnd"/>
      <w:r w:rsidRPr="004F76E5">
        <w:rPr>
          <w:rFonts w:ascii="Times New Roman" w:eastAsia="Times New Roman" w:hAnsi="Times New Roman" w:cs="Times New Roman"/>
          <w:color w:val="000000"/>
          <w:kern w:val="0"/>
          <w:lang w:eastAsia="it-IT"/>
          <w14:ligatures w14:val="none"/>
        </w:rPr>
        <w:t>,</w:t>
      </w:r>
      <w:bookmarkStart w:id="38" w:name="_cl27671THELAW"/>
      <w:r w:rsidRPr="004F76E5">
        <w:rPr>
          <w:rFonts w:ascii="Times New Roman" w:eastAsia="Times New Roman" w:hAnsi="Times New Roman" w:cs="Times New Roman"/>
          <w:i/>
          <w:iCs/>
          <w:color w:val="000000"/>
          <w:kern w:val="0"/>
          <w:lang w:eastAsia="it-IT"/>
          <w14:ligatures w14:val="none"/>
        </w:rPr>
        <w:t xml:space="preserve"> Husayn (Abu </w:t>
      </w:r>
      <w:proofErr w:type="spellStart"/>
      <w:r w:rsidRPr="004F76E5">
        <w:rPr>
          <w:rFonts w:ascii="Times New Roman" w:eastAsia="Times New Roman" w:hAnsi="Times New Roman" w:cs="Times New Roman"/>
          <w:i/>
          <w:iCs/>
          <w:color w:val="000000"/>
          <w:kern w:val="0"/>
          <w:lang w:eastAsia="it-IT"/>
          <w14:ligatures w14:val="none"/>
        </w:rPr>
        <w:t>Zubaydah</w:t>
      </w:r>
      <w:proofErr w:type="spellEnd"/>
      <w:r w:rsidRPr="004F76E5">
        <w:rPr>
          <w:rFonts w:ascii="Times New Roman" w:eastAsia="Times New Roman" w:hAnsi="Times New Roman" w:cs="Times New Roman"/>
          <w:i/>
          <w:iCs/>
          <w:color w:val="000000"/>
          <w:kern w:val="0"/>
          <w:lang w:eastAsia="it-IT"/>
          <w14:ligatures w14:val="none"/>
        </w:rPr>
        <w:t>) contro Polan</w:t>
      </w:r>
      <w:bookmarkEnd w:id="38"/>
      <w:r w:rsidRPr="004F76E5">
        <w:rPr>
          <w:rFonts w:ascii="Times New Roman" w:eastAsia="Times New Roman" w:hAnsi="Times New Roman" w:cs="Times New Roman"/>
          <w:i/>
          <w:iCs/>
          <w:color w:val="000000"/>
          <w:kern w:val="0"/>
          <w:lang w:eastAsia="it-IT"/>
          <w14:ligatures w14:val="none"/>
        </w:rPr>
        <w:t>d</w:t>
      </w:r>
      <w:r w:rsidRPr="004F76E5">
        <w:rPr>
          <w:rFonts w:ascii="Times New Roman" w:eastAsia="Times New Roman" w:hAnsi="Times New Roman" w:cs="Times New Roman"/>
          <w:color w:val="000000"/>
          <w:kern w:val="0"/>
          <w:lang w:eastAsia="it-IT"/>
          <w14:ligatures w14:val="none"/>
        </w:rPr>
        <w:t>, n. </w:t>
      </w:r>
      <w:hyperlink r:id="rId20" w:anchor="{%22appno%22:[%227511/13%22]}" w:tgtFrame="_blank" w:history="1">
        <w:r w:rsidRPr="004F76E5">
          <w:rPr>
            <w:rFonts w:ascii="Times New Roman" w:eastAsia="Times New Roman" w:hAnsi="Times New Roman" w:cs="Times New Roman"/>
            <w:color w:val="0069D6"/>
            <w:kern w:val="0"/>
            <w:u w:val="single"/>
            <w:lang w:eastAsia="it-IT"/>
            <w14:ligatures w14:val="none"/>
          </w:rPr>
          <w:t>7511/13</w:t>
        </w:r>
      </w:hyperlink>
      <w:r w:rsidRPr="004F76E5">
        <w:rPr>
          <w:rFonts w:ascii="Times New Roman" w:eastAsia="Times New Roman" w:hAnsi="Times New Roman" w:cs="Times New Roman"/>
          <w:color w:val="000000"/>
          <w:kern w:val="0"/>
          <w:lang w:eastAsia="it-IT"/>
          <w14:ligatures w14:val="none"/>
        </w:rPr>
        <w:t>, § 337, 24 luglio 2014, e </w:t>
      </w:r>
      <w:bookmarkStart w:id="39" w:name="_cl25394THELAW"/>
      <w:proofErr w:type="spellStart"/>
      <w:r w:rsidRPr="004F76E5">
        <w:rPr>
          <w:rFonts w:ascii="Times New Roman" w:eastAsia="Times New Roman" w:hAnsi="Times New Roman" w:cs="Times New Roman"/>
          <w:i/>
          <w:iCs/>
          <w:color w:val="000000"/>
          <w:kern w:val="0"/>
          <w:lang w:eastAsia="it-IT"/>
          <w14:ligatures w14:val="none"/>
        </w:rPr>
        <w:t>Estamirov</w:t>
      </w:r>
      <w:proofErr w:type="spellEnd"/>
      <w:r w:rsidRPr="004F76E5">
        <w:rPr>
          <w:rFonts w:ascii="Times New Roman" w:eastAsia="Times New Roman" w:hAnsi="Times New Roman" w:cs="Times New Roman"/>
          <w:i/>
          <w:iCs/>
          <w:color w:val="000000"/>
          <w:kern w:val="0"/>
          <w:lang w:eastAsia="it-IT"/>
          <w14:ligatures w14:val="none"/>
        </w:rPr>
        <w:t xml:space="preserve"> contro Russia</w:t>
      </w:r>
      <w:bookmarkEnd w:id="39"/>
      <w:r w:rsidRPr="004F76E5">
        <w:rPr>
          <w:rFonts w:ascii="Times New Roman" w:eastAsia="Times New Roman" w:hAnsi="Times New Roman" w:cs="Times New Roman"/>
          <w:color w:val="000000"/>
          <w:kern w:val="0"/>
          <w:lang w:eastAsia="it-IT"/>
          <w14:ligatures w14:val="none"/>
        </w:rPr>
        <w:t>, no. </w:t>
      </w:r>
      <w:hyperlink r:id="rId21" w:anchor="{%22appno%22:[%2227365/07%22]}" w:tgtFrame="_blank" w:history="1">
        <w:r w:rsidRPr="004F76E5">
          <w:rPr>
            <w:rFonts w:ascii="Times New Roman" w:eastAsia="Times New Roman" w:hAnsi="Times New Roman" w:cs="Times New Roman"/>
            <w:color w:val="0069D6"/>
            <w:kern w:val="0"/>
            <w:u w:val="single"/>
            <w:lang w:eastAsia="it-IT"/>
            <w14:ligatures w14:val="none"/>
          </w:rPr>
          <w:t>27365/07</w:t>
        </w:r>
      </w:hyperlink>
      <w:r w:rsidRPr="004F76E5">
        <w:rPr>
          <w:rFonts w:ascii="Times New Roman" w:eastAsia="Times New Roman" w:hAnsi="Times New Roman" w:cs="Times New Roman"/>
          <w:color w:val="000000"/>
          <w:kern w:val="0"/>
          <w:lang w:eastAsia="it-IT"/>
          <w14:ligatures w14:val="none"/>
        </w:rPr>
        <w:t>, §§ 78-79, 17 aprile 2012).</w:t>
      </w:r>
    </w:p>
    <w:p w14:paraId="003CECC8"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0" w:name="paragraph00057"/>
      <w:r w:rsidRPr="004F76E5">
        <w:rPr>
          <w:rFonts w:ascii="Times New Roman" w:eastAsia="Times New Roman" w:hAnsi="Times New Roman" w:cs="Times New Roman"/>
          <w:b/>
          <w:bCs/>
          <w:color w:val="000000"/>
          <w:kern w:val="0"/>
          <w:lang w:eastAsia="it-IT"/>
          <w14:ligatures w14:val="none"/>
        </w:rPr>
        <w:t>57</w:t>
      </w:r>
      <w:bookmarkEnd w:id="40"/>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Ne consegue che tali denunce non sono né manifestamente infondate né inammissibili per altri motivi elencati nell'Articolo 35 della Convenzione. Devono quindi essere dichiarate ammissibili.</w:t>
      </w:r>
    </w:p>
    <w:p w14:paraId="3C54680F" w14:textId="4B2C29A2" w:rsidR="00D21F64" w:rsidRPr="004F76E5" w:rsidRDefault="00D21F64" w:rsidP="00D21F64">
      <w:pPr>
        <w:shd w:val="clear" w:color="auto" w:fill="FFFFFF"/>
        <w:spacing w:before="280" w:after="240" w:line="240" w:lineRule="auto"/>
        <w:ind w:left="584" w:hanging="352"/>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B. Merito</w:t>
      </w:r>
      <w:r w:rsidRPr="004F76E5">
        <w:rPr>
          <w:rFonts w:ascii="Times New Roman" w:eastAsia="Times New Roman" w:hAnsi="Times New Roman" w:cs="Times New Roman"/>
          <w:color w:val="000000"/>
          <w:kern w:val="0"/>
          <w:sz w:val="14"/>
          <w:szCs w:val="14"/>
          <w:lang w:eastAsia="it-IT"/>
          <w14:ligatures w14:val="none"/>
        </w:rPr>
        <w:t>   </w:t>
      </w:r>
    </w:p>
    <w:p w14:paraId="0D28D228" w14:textId="77777777" w:rsidR="00D21F64" w:rsidRPr="004F76E5" w:rsidRDefault="00D21F64" w:rsidP="00D21F64">
      <w:pPr>
        <w:shd w:val="clear" w:color="auto" w:fill="FFFFFF"/>
        <w:spacing w:after="120" w:line="240" w:lineRule="auto"/>
        <w:ind w:left="731" w:hanging="30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i/>
          <w:iCs/>
          <w:color w:val="000000"/>
          <w:kern w:val="0"/>
          <w:lang w:eastAsia="it-IT"/>
          <w14:ligatures w14:val="none"/>
        </w:rPr>
        <w:t>1.</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i/>
          <w:iCs/>
          <w:color w:val="000000"/>
          <w:kern w:val="0"/>
          <w:lang w:eastAsia="it-IT"/>
          <w14:ligatures w14:val="none"/>
        </w:rPr>
        <w:t>Osservazioni delle parti</w:t>
      </w:r>
      <w:r w:rsidRPr="004F76E5">
        <w:rPr>
          <w:rFonts w:ascii="Times New Roman" w:eastAsia="Times New Roman" w:hAnsi="Times New Roman" w:cs="Times New Roman"/>
          <w:color w:val="000000"/>
          <w:kern w:val="0"/>
          <w:sz w:val="14"/>
          <w:szCs w:val="14"/>
          <w:lang w:eastAsia="it-IT"/>
          <w14:ligatures w14:val="none"/>
        </w:rPr>
        <w:t>  </w:t>
      </w:r>
    </w:p>
    <w:p w14:paraId="2FB45BBA" w14:textId="77777777" w:rsidR="00D21F64" w:rsidRPr="004F76E5" w:rsidRDefault="00D21F64" w:rsidP="00D21F64">
      <w:pPr>
        <w:shd w:val="clear" w:color="auto" w:fill="FFFFFF"/>
        <w:spacing w:after="120" w:line="240" w:lineRule="auto"/>
        <w:ind w:left="975" w:hanging="340"/>
        <w:jc w:val="both"/>
        <w:rPr>
          <w:rFonts w:ascii="Times New Roman" w:eastAsia="Times New Roman" w:hAnsi="Times New Roman" w:cs="Times New Roman"/>
          <w:b/>
          <w:bCs/>
          <w:color w:val="000000"/>
          <w:kern w:val="0"/>
          <w:sz w:val="20"/>
          <w:szCs w:val="20"/>
          <w:lang w:eastAsia="it-IT"/>
          <w14:ligatures w14:val="none"/>
        </w:rPr>
      </w:pPr>
    </w:p>
    <w:p w14:paraId="72130E10" w14:textId="7845FAD3" w:rsidR="00D21F64" w:rsidRPr="004F76E5" w:rsidRDefault="00D21F64" w:rsidP="00D21F64">
      <w:pPr>
        <w:shd w:val="clear" w:color="auto" w:fill="FFFFFF"/>
        <w:spacing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I richiedenti</w:t>
      </w:r>
      <w:r w:rsidRPr="004F76E5">
        <w:rPr>
          <w:rFonts w:ascii="Times New Roman" w:eastAsia="Times New Roman" w:hAnsi="Times New Roman" w:cs="Times New Roman"/>
          <w:color w:val="000000"/>
          <w:kern w:val="0"/>
          <w:sz w:val="14"/>
          <w:szCs w:val="14"/>
          <w:lang w:eastAsia="it-IT"/>
          <w14:ligatures w14:val="none"/>
        </w:rPr>
        <w:t>  </w:t>
      </w:r>
    </w:p>
    <w:p w14:paraId="600F6B3B"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1" w:name="paragraph00058"/>
      <w:r w:rsidRPr="004F76E5">
        <w:rPr>
          <w:rFonts w:ascii="Times New Roman" w:eastAsia="Times New Roman" w:hAnsi="Times New Roman" w:cs="Times New Roman"/>
          <w:b/>
          <w:bCs/>
          <w:color w:val="000000"/>
          <w:kern w:val="0"/>
          <w:lang w:eastAsia="it-IT"/>
          <w14:ligatures w14:val="none"/>
        </w:rPr>
        <w:t>58</w:t>
      </w:r>
      <w:bookmarkEnd w:id="41"/>
      <w:r w:rsidRPr="004F76E5">
        <w:rPr>
          <w:rFonts w:ascii="Times New Roman" w:eastAsia="Times New Roman" w:hAnsi="Times New Roman" w:cs="Times New Roman"/>
          <w:color w:val="000000"/>
          <w:kern w:val="0"/>
          <w:lang w:eastAsia="it-IT"/>
          <w14:ligatures w14:val="none"/>
        </w:rPr>
        <w:t xml:space="preserve">. I ricorrenti, basandosi </w:t>
      </w:r>
      <w:r w:rsidRPr="004F76E5">
        <w:rPr>
          <w:rFonts w:ascii="Times New Roman" w:eastAsia="Times New Roman" w:hAnsi="Times New Roman" w:cs="Times New Roman"/>
          <w:b/>
          <w:bCs/>
          <w:color w:val="000000"/>
          <w:kern w:val="0"/>
          <w:lang w:eastAsia="it-IT"/>
          <w14:ligatures w14:val="none"/>
        </w:rPr>
        <w:t>sull'Articolo 3</w:t>
      </w:r>
      <w:r w:rsidRPr="004F76E5">
        <w:rPr>
          <w:rFonts w:ascii="Times New Roman" w:eastAsia="Times New Roman" w:hAnsi="Times New Roman" w:cs="Times New Roman"/>
          <w:color w:val="000000"/>
          <w:kern w:val="0"/>
          <w:lang w:eastAsia="it-IT"/>
          <w14:ligatures w14:val="none"/>
        </w:rPr>
        <w:t xml:space="preserve"> (sia nei suoi aspetti sostanziali che procedurali) e </w:t>
      </w:r>
      <w:r w:rsidRPr="004F76E5">
        <w:rPr>
          <w:rFonts w:ascii="Times New Roman" w:eastAsia="Times New Roman" w:hAnsi="Times New Roman" w:cs="Times New Roman"/>
          <w:b/>
          <w:bCs/>
          <w:color w:val="000000"/>
          <w:kern w:val="0"/>
          <w:lang w:eastAsia="it-IT"/>
          <w14:ligatures w14:val="none"/>
        </w:rPr>
        <w:t>sull'Articolo 8 della Convenzione</w:t>
      </w:r>
      <w:r w:rsidRPr="004F76E5">
        <w:rPr>
          <w:rFonts w:ascii="Times New Roman" w:eastAsia="Times New Roman" w:hAnsi="Times New Roman" w:cs="Times New Roman"/>
          <w:color w:val="000000"/>
          <w:kern w:val="0"/>
          <w:lang w:eastAsia="it-IT"/>
          <w14:ligatures w14:val="none"/>
        </w:rPr>
        <w:t>, hanno sostenuto che le autorità non avevano valutato adeguatamente la violenza domestica a cui erano state esposte e non avevano risposto efficacemente al rischio di violenza fisica e psicologica perpetrata dal Governo Generale nei loro confronti. Si lamentarono dell'esame tardivo delle loro domande da parte dei tribunali nazionali e sostennero che non vi fosse stata una valutazione completa della loro necessità di beneficiare delle misure protettive.</w:t>
      </w:r>
    </w:p>
    <w:p w14:paraId="4A91942B"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59.</w:t>
      </w:r>
      <w:r w:rsidRPr="004F76E5">
        <w:rPr>
          <w:rFonts w:ascii="Times New Roman" w:eastAsia="Times New Roman" w:hAnsi="Times New Roman" w:cs="Times New Roman"/>
          <w:color w:val="000000"/>
          <w:kern w:val="0"/>
          <w:lang w:eastAsia="it-IT"/>
          <w14:ligatures w14:val="none"/>
        </w:rPr>
        <w:t> I richiedenti hanno accusato le autorità di aver trascurato la natura specifica della violenza domestica. Secondo i ricorrenti, le autorità non avevano risposto in modo proporzionato alla gravità dei fatti riportati né avevano agito con la tempestività e la diligenza richieste. Sostenevano che tutte quelle circostanze avevano costituito un lungo periodo di incertezza e sofferenza mentale, che aveva causato uno stato di ansia, stress e paura di ulteriori atti di violenza.</w:t>
      </w:r>
    </w:p>
    <w:p w14:paraId="4DEE1860"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60.</w:t>
      </w:r>
      <w:r w:rsidRPr="004F76E5">
        <w:rPr>
          <w:rFonts w:ascii="Times New Roman" w:eastAsia="Times New Roman" w:hAnsi="Times New Roman" w:cs="Times New Roman"/>
          <w:color w:val="000000"/>
          <w:kern w:val="0"/>
          <w:lang w:eastAsia="it-IT"/>
          <w14:ligatures w14:val="none"/>
        </w:rPr>
        <w:t> Inoltre, sebbene le autorità avessero reagito relativamente prontamente dopo la denuncia penale della prima ricorrente (vedi paragrafi 7 e 8 sopra) e concedendo la sua richiesta di urgente ricovero in un rifugio (vedi paragrafo 9 sopra), avevano comunque permesso al G.P. di rimanere libero, senza imporre alcuna misura preventiva o di supervisione, come la supervisione giudiziaria, un ordine restrittivo o di non contatto, o l'ordine di conformità a qualsiasi altra misura protettiva appropriata.</w:t>
      </w:r>
    </w:p>
    <w:p w14:paraId="422A0426"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2" w:name="paragraph00061"/>
      <w:r w:rsidRPr="004F76E5">
        <w:rPr>
          <w:rFonts w:ascii="Times New Roman" w:eastAsia="Times New Roman" w:hAnsi="Times New Roman" w:cs="Times New Roman"/>
          <w:b/>
          <w:bCs/>
          <w:color w:val="000000"/>
          <w:kern w:val="0"/>
          <w:lang w:eastAsia="it-IT"/>
          <w14:ligatures w14:val="none"/>
        </w:rPr>
        <w:t>61</w:t>
      </w:r>
      <w:bookmarkEnd w:id="42"/>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Inoltre, i richiedenti hanno sostenuto che la richiesta di cessare il procedimento penale a favore del G.P. (vedi paragrafo 10 sopra) si basava sulla valutazione del pubblico ministero, presumibilmente influenzata da stereotipi di genere persistenti capaci di generare vittimizzazione secondaria. Hanno inoltre aggiunto che non erano state intraprese alcuna prova investigativa e che il procedimento penale non era proseguito (vedi paragrafo 17 sopra), nonostante il tempo significativo trascorso dalla presentazione della denuncia.</w:t>
      </w:r>
    </w:p>
    <w:p w14:paraId="60EE0782" w14:textId="77777777" w:rsidR="00D21F64" w:rsidRPr="004F76E5" w:rsidRDefault="00D21F64" w:rsidP="00D21F64">
      <w:pPr>
        <w:shd w:val="clear" w:color="auto" w:fill="FFFFFF"/>
        <w:spacing w:before="280"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(b)</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Il Governo</w:t>
      </w:r>
      <w:r w:rsidRPr="004F76E5">
        <w:rPr>
          <w:rFonts w:ascii="Times New Roman" w:eastAsia="Times New Roman" w:hAnsi="Times New Roman" w:cs="Times New Roman"/>
          <w:color w:val="000000"/>
          <w:kern w:val="0"/>
          <w:sz w:val="14"/>
          <w:szCs w:val="14"/>
          <w:lang w:eastAsia="it-IT"/>
          <w14:ligatures w14:val="none"/>
        </w:rPr>
        <w:t>  </w:t>
      </w:r>
    </w:p>
    <w:p w14:paraId="26A30109"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62. Il Governo ha sostenuto che un'indagine sulle accuse di aggressione sessuale e violenza domestica era stata prioritaria dalla polizia per accertare se vi fosse stato un rischio reale e immediato per la vita dei richiedenti.</w:t>
      </w:r>
    </w:p>
    <w:p w14:paraId="566B84F1"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63. Per quanto riguarda la richiesta di misure restrittive, il Governo osservò che il primo richiedente aveva chiesto alle autorità locali di essere portato in un rifugio, e che lo stesso giorno era stata trovata una struttura adatta e i richiedenti vi erano stati portati. In tale contesto, non c'era bisogno di misure specifiche riguardo al G.P., considerando che i richiedenti erano stati pienamente e adeguatamente protetti nel rifugio. Il Governo ha inoltre sottolineato che non ci sono prove che il G.P. o qualsiasi membro della sua famiglia si siano avvicinati alla struttura protetta o ai luoghi frequentati dal secondo e terzo richiedente.</w:t>
      </w:r>
    </w:p>
    <w:p w14:paraId="75D8071C"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64.</w:t>
      </w:r>
      <w:r w:rsidRPr="004F76E5">
        <w:rPr>
          <w:rFonts w:ascii="Times New Roman" w:eastAsia="Times New Roman" w:hAnsi="Times New Roman" w:cs="Times New Roman"/>
          <w:color w:val="000000"/>
          <w:kern w:val="0"/>
          <w:lang w:eastAsia="it-IT"/>
          <w14:ligatures w14:val="none"/>
        </w:rPr>
        <w:t xml:space="preserve"> Considerando l'aspetto procedurale dell'articolo 3, il Governo ha sottolineato che le autorità giudiziarie avevano preso provvedimenti per garantire che il procedimento penale fosse sia rapido che efficace, tenendo conto della particolare natura dei reati in questione. Infatti, il primo richiedente era stato intervistato di persona entro tre giorni dalla presentazione della denuncia penale con </w:t>
      </w:r>
      <w:r w:rsidRPr="004F76E5">
        <w:rPr>
          <w:rFonts w:ascii="Times New Roman" w:eastAsia="Times New Roman" w:hAnsi="Times New Roman" w:cs="Times New Roman"/>
          <w:color w:val="000000"/>
          <w:kern w:val="0"/>
          <w:lang w:eastAsia="it-IT"/>
          <w14:ligatures w14:val="none"/>
        </w:rPr>
        <w:lastRenderedPageBreak/>
        <w:t>l'assistenza di uno psicologo. Successivamente, l'indagine era iniziata immediatamente e tutte le parti coinvolte erano state intervistate.</w:t>
      </w:r>
    </w:p>
    <w:p w14:paraId="7B95BD25"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65.</w:t>
      </w:r>
      <w:r w:rsidRPr="004F76E5">
        <w:rPr>
          <w:rFonts w:ascii="Times New Roman" w:eastAsia="Times New Roman" w:hAnsi="Times New Roman" w:cs="Times New Roman"/>
          <w:color w:val="000000"/>
          <w:kern w:val="0"/>
          <w:lang w:eastAsia="it-IT"/>
          <w14:ligatures w14:val="none"/>
        </w:rPr>
        <w:t> Il Governo ha sottolineato che, dato il tempo necessario per condurre un processo penale, tutte le misure sono state adottate tempestivamente per garantire la rapidità e l'efficacia del procedimento, e non ci sono stati ritardi.</w:t>
      </w:r>
    </w:p>
    <w:p w14:paraId="680465B2" w14:textId="77777777" w:rsidR="00E77D51" w:rsidRPr="004F76E5" w:rsidRDefault="00E77D51" w:rsidP="00D21F64">
      <w:pPr>
        <w:shd w:val="clear" w:color="auto" w:fill="FFFFFF"/>
        <w:spacing w:before="280" w:after="120" w:line="240" w:lineRule="auto"/>
        <w:ind w:left="731" w:hanging="300"/>
        <w:jc w:val="both"/>
        <w:rPr>
          <w:rFonts w:ascii="Times New Roman" w:eastAsia="Times New Roman" w:hAnsi="Times New Roman" w:cs="Times New Roman"/>
          <w:i/>
          <w:iCs/>
          <w:color w:val="000000"/>
          <w:kern w:val="0"/>
          <w:lang w:eastAsia="it-IT"/>
          <w14:ligatures w14:val="none"/>
        </w:rPr>
      </w:pPr>
    </w:p>
    <w:p w14:paraId="3A863DEF" w14:textId="58203E57" w:rsidR="00D21F64" w:rsidRPr="004F76E5" w:rsidRDefault="00D21F64" w:rsidP="00D21F64">
      <w:pPr>
        <w:shd w:val="clear" w:color="auto" w:fill="FFFFFF"/>
        <w:spacing w:before="280" w:after="120" w:line="240" w:lineRule="auto"/>
        <w:ind w:left="731" w:hanging="30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i/>
          <w:iCs/>
          <w:color w:val="000000"/>
          <w:kern w:val="0"/>
          <w:lang w:eastAsia="it-IT"/>
          <w14:ligatures w14:val="none"/>
        </w:rPr>
        <w:t>2.</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b/>
          <w:bCs/>
          <w:i/>
          <w:iCs/>
          <w:color w:val="000000"/>
          <w:kern w:val="0"/>
          <w:lang w:eastAsia="it-IT"/>
          <w14:ligatures w14:val="none"/>
        </w:rPr>
        <w:t>La valutazione della Corte</w:t>
      </w:r>
      <w:r w:rsidRPr="004F76E5">
        <w:rPr>
          <w:rFonts w:ascii="Times New Roman" w:eastAsia="Times New Roman" w:hAnsi="Times New Roman" w:cs="Times New Roman"/>
          <w:color w:val="000000"/>
          <w:kern w:val="0"/>
          <w:sz w:val="14"/>
          <w:szCs w:val="14"/>
          <w:lang w:eastAsia="it-IT"/>
          <w14:ligatures w14:val="none"/>
        </w:rPr>
        <w:t>  </w:t>
      </w:r>
    </w:p>
    <w:p w14:paraId="4B02DFA7" w14:textId="77777777" w:rsidR="00D21F64" w:rsidRPr="004F76E5" w:rsidRDefault="00D21F64" w:rsidP="00D21F64">
      <w:pPr>
        <w:shd w:val="clear" w:color="auto" w:fill="FFFFFF"/>
        <w:spacing w:after="120" w:line="240" w:lineRule="auto"/>
        <w:ind w:left="975" w:hanging="340"/>
        <w:jc w:val="both"/>
        <w:rPr>
          <w:rFonts w:ascii="Times New Roman" w:eastAsia="Times New Roman" w:hAnsi="Times New Roman" w:cs="Times New Roman"/>
          <w:color w:val="000000"/>
          <w:kern w:val="0"/>
          <w:sz w:val="14"/>
          <w:szCs w:val="14"/>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Applicabilità degli articoli 3 e 8 della Convenzione</w:t>
      </w:r>
      <w:r w:rsidRPr="004F76E5">
        <w:rPr>
          <w:rFonts w:ascii="Times New Roman" w:eastAsia="Times New Roman" w:hAnsi="Times New Roman" w:cs="Times New Roman"/>
          <w:color w:val="000000"/>
          <w:kern w:val="0"/>
          <w:sz w:val="14"/>
          <w:szCs w:val="14"/>
          <w:lang w:eastAsia="it-IT"/>
          <w14:ligatures w14:val="none"/>
        </w:rPr>
        <w:t>  </w:t>
      </w:r>
    </w:p>
    <w:p w14:paraId="1F71D2DA" w14:textId="77777777" w:rsidR="00E77D51" w:rsidRPr="004F76E5" w:rsidRDefault="00E77D51" w:rsidP="00D21F64">
      <w:pPr>
        <w:shd w:val="clear" w:color="auto" w:fill="FFFFFF"/>
        <w:spacing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p>
    <w:p w14:paraId="484ADDBD"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66</w:t>
      </w:r>
      <w:r w:rsidRPr="004F76E5">
        <w:rPr>
          <w:rFonts w:ascii="Times New Roman" w:eastAsia="Times New Roman" w:hAnsi="Times New Roman" w:cs="Times New Roman"/>
          <w:color w:val="000000"/>
          <w:kern w:val="0"/>
          <w:lang w:eastAsia="it-IT"/>
          <w14:ligatures w14:val="none"/>
        </w:rPr>
        <w:t>. I principi rilevanti sull'applicabilità degli articoli 3 e 8 della Convenzione sono riassunti in </w:t>
      </w:r>
      <w:proofErr w:type="spellStart"/>
      <w:r w:rsidRPr="004F76E5">
        <w:rPr>
          <w:rFonts w:ascii="Times New Roman" w:eastAsia="Times New Roman" w:hAnsi="Times New Roman" w:cs="Times New Roman"/>
          <w:i/>
          <w:iCs/>
          <w:color w:val="000000"/>
          <w:kern w:val="0"/>
          <w:lang w:eastAsia="it-IT"/>
          <w14:ligatures w14:val="none"/>
        </w:rPr>
        <w:t>Scuderoni</w:t>
      </w:r>
      <w:proofErr w:type="spellEnd"/>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i/>
          <w:iCs/>
          <w:color w:val="000000"/>
          <w:kern w:val="0"/>
          <w:lang w:eastAsia="it-IT"/>
          <w14:ligatures w14:val="none"/>
        </w:rPr>
        <w:t>contro Italia </w:t>
      </w:r>
      <w:r w:rsidRPr="004F76E5">
        <w:rPr>
          <w:rFonts w:ascii="Times New Roman" w:eastAsia="Times New Roman" w:hAnsi="Times New Roman" w:cs="Times New Roman"/>
          <w:color w:val="000000"/>
          <w:kern w:val="0"/>
          <w:lang w:eastAsia="it-IT"/>
          <w14:ligatures w14:val="none"/>
        </w:rPr>
        <w:t>(n. </w:t>
      </w:r>
      <w:hyperlink r:id="rId22" w:anchor="{%22appno%22:[%226045/24%22]}" w:tgtFrame="_blank" w:history="1">
        <w:r w:rsidRPr="004F76E5">
          <w:rPr>
            <w:rFonts w:ascii="Times New Roman" w:eastAsia="Times New Roman" w:hAnsi="Times New Roman" w:cs="Times New Roman"/>
            <w:color w:val="0069D6"/>
            <w:kern w:val="0"/>
            <w:u w:val="single"/>
            <w:lang w:eastAsia="it-IT"/>
            <w14:ligatures w14:val="none"/>
          </w:rPr>
          <w:t>6045/24</w:t>
        </w:r>
      </w:hyperlink>
      <w:r w:rsidRPr="004F76E5">
        <w:rPr>
          <w:rFonts w:ascii="Times New Roman" w:eastAsia="Times New Roman" w:hAnsi="Times New Roman" w:cs="Times New Roman"/>
          <w:color w:val="000000"/>
          <w:kern w:val="0"/>
          <w:lang w:eastAsia="it-IT"/>
          <w14:ligatures w14:val="none"/>
        </w:rPr>
        <w:t>, §§ 81-82, 23 settembre 2025).</w:t>
      </w:r>
    </w:p>
    <w:p w14:paraId="7B296DDA"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67</w:t>
      </w:r>
      <w:r w:rsidRPr="004F76E5">
        <w:rPr>
          <w:rFonts w:ascii="Times New Roman" w:eastAsia="Times New Roman" w:hAnsi="Times New Roman" w:cs="Times New Roman"/>
          <w:color w:val="000000"/>
          <w:kern w:val="0"/>
          <w:lang w:eastAsia="it-IT"/>
          <w14:ligatures w14:val="none"/>
        </w:rPr>
        <w:t>. Nel caso attuale, la Corte osserva che il Governo non contestò l'applicabilità degli articoli sopra menzionati e non trova motivo di concludere il contrario. In particolare, ritiene che la violenza denunciata dai ricorrenti, se provata, fosse sufficientemente grave da raggiungere il livello minimo di gravità richiesto per rientrare nell'ambito dell'articolo 3 della Convenzione (vedi, tra gli altri, </w:t>
      </w:r>
      <w:proofErr w:type="spellStart"/>
      <w:r w:rsidRPr="004F76E5">
        <w:rPr>
          <w:rFonts w:ascii="Times New Roman" w:eastAsia="Times New Roman" w:hAnsi="Times New Roman" w:cs="Times New Roman"/>
          <w:i/>
          <w:iCs/>
          <w:color w:val="000000"/>
          <w:kern w:val="0"/>
          <w:lang w:eastAsia="it-IT"/>
          <w14:ligatures w14:val="none"/>
        </w:rPr>
        <w:t>Volodina</w:t>
      </w:r>
      <w:proofErr w:type="spellEnd"/>
      <w:r w:rsidRPr="004F76E5">
        <w:rPr>
          <w:rFonts w:ascii="Times New Roman" w:eastAsia="Times New Roman" w:hAnsi="Times New Roman" w:cs="Times New Roman"/>
          <w:i/>
          <w:iCs/>
          <w:color w:val="000000"/>
          <w:kern w:val="0"/>
          <w:lang w:eastAsia="it-IT"/>
          <w14:ligatures w14:val="none"/>
        </w:rPr>
        <w:t xml:space="preserve"> contro Russia</w:t>
      </w:r>
      <w:r w:rsidRPr="004F76E5">
        <w:rPr>
          <w:rFonts w:ascii="Times New Roman" w:eastAsia="Times New Roman" w:hAnsi="Times New Roman" w:cs="Times New Roman"/>
          <w:color w:val="000000"/>
          <w:kern w:val="0"/>
          <w:lang w:eastAsia="it-IT"/>
          <w14:ligatures w14:val="none"/>
        </w:rPr>
        <w:t>, n. </w:t>
      </w:r>
      <w:hyperlink r:id="rId23" w:anchor="{%22appno%22:[%2241261/17%22]}" w:tgtFrame="_blank" w:history="1">
        <w:r w:rsidRPr="004F76E5">
          <w:rPr>
            <w:rFonts w:ascii="Times New Roman" w:eastAsia="Times New Roman" w:hAnsi="Times New Roman" w:cs="Times New Roman"/>
            <w:color w:val="0069D6"/>
            <w:kern w:val="0"/>
            <w:u w:val="single"/>
            <w:lang w:eastAsia="it-IT"/>
            <w14:ligatures w14:val="none"/>
          </w:rPr>
          <w:t>41261/17</w:t>
        </w:r>
      </w:hyperlink>
      <w:r w:rsidRPr="004F76E5">
        <w:rPr>
          <w:rFonts w:ascii="Times New Roman" w:eastAsia="Times New Roman" w:hAnsi="Times New Roman" w:cs="Times New Roman"/>
          <w:color w:val="000000"/>
          <w:kern w:val="0"/>
          <w:lang w:eastAsia="it-IT"/>
          <w14:ligatures w14:val="none"/>
        </w:rPr>
        <w:t>, § 75, 9 luglio 2019, e </w:t>
      </w:r>
      <w:proofErr w:type="spellStart"/>
      <w:r w:rsidRPr="004F76E5">
        <w:rPr>
          <w:rFonts w:ascii="Times New Roman" w:eastAsia="Times New Roman" w:hAnsi="Times New Roman" w:cs="Times New Roman"/>
          <w:i/>
          <w:iCs/>
          <w:color w:val="000000"/>
          <w:kern w:val="0"/>
          <w:lang w:eastAsia="it-IT"/>
          <w14:ligatures w14:val="none"/>
        </w:rPr>
        <w:t>Opuz</w:t>
      </w:r>
      <w:proofErr w:type="spellEnd"/>
      <w:r w:rsidRPr="004F76E5">
        <w:rPr>
          <w:rFonts w:ascii="Times New Roman" w:eastAsia="Times New Roman" w:hAnsi="Times New Roman" w:cs="Times New Roman"/>
          <w:i/>
          <w:iCs/>
          <w:color w:val="000000"/>
          <w:kern w:val="0"/>
          <w:lang w:eastAsia="it-IT"/>
          <w14:ligatures w14:val="none"/>
        </w:rPr>
        <w:t xml:space="preserve"> contro Tacchino</w:t>
      </w:r>
      <w:r w:rsidRPr="004F76E5">
        <w:rPr>
          <w:rFonts w:ascii="Times New Roman" w:eastAsia="Times New Roman" w:hAnsi="Times New Roman" w:cs="Times New Roman"/>
          <w:color w:val="000000"/>
          <w:kern w:val="0"/>
          <w:lang w:eastAsia="it-IT"/>
          <w14:ligatures w14:val="none"/>
        </w:rPr>
        <w:t>, no. </w:t>
      </w:r>
      <w:hyperlink r:id="rId24" w:anchor="{%22appno%22:[%2233401/02%22]}" w:tgtFrame="_blank" w:history="1">
        <w:r w:rsidRPr="004F76E5">
          <w:rPr>
            <w:rFonts w:ascii="Times New Roman" w:eastAsia="Times New Roman" w:hAnsi="Times New Roman" w:cs="Times New Roman"/>
            <w:color w:val="0069D6"/>
            <w:kern w:val="0"/>
            <w:u w:val="single"/>
            <w:lang w:eastAsia="it-IT"/>
            <w14:ligatures w14:val="none"/>
          </w:rPr>
          <w:t>33401/02</w:t>
        </w:r>
      </w:hyperlink>
      <w:r w:rsidRPr="004F76E5">
        <w:rPr>
          <w:rFonts w:ascii="Times New Roman" w:eastAsia="Times New Roman" w:hAnsi="Times New Roman" w:cs="Times New Roman"/>
          <w:color w:val="000000"/>
          <w:kern w:val="0"/>
          <w:lang w:eastAsia="it-IT"/>
          <w14:ligatures w14:val="none"/>
        </w:rPr>
        <w:t>, § 161, CEDU 2009).</w:t>
      </w:r>
    </w:p>
    <w:p w14:paraId="7F684E5C"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68.</w:t>
      </w:r>
      <w:r w:rsidRPr="004F76E5">
        <w:rPr>
          <w:rFonts w:ascii="Times New Roman" w:eastAsia="Times New Roman" w:hAnsi="Times New Roman" w:cs="Times New Roman"/>
          <w:color w:val="000000"/>
          <w:kern w:val="0"/>
          <w:lang w:eastAsia="it-IT"/>
          <w14:ligatures w14:val="none"/>
        </w:rPr>
        <w:t> La Corte sottolinea inoltre che, nei casi riguardanti violenza inflitta da privati, la distinzione tra i requisiti degli articoli 3 e 8 della Convenzione non è netta. Infatti, entrambe le disposizioni impongono allo Stato l'obbligo di salvaguardare l'integrità fisica e psicologica di un individuo e, insieme all'Articolo 2, costituiscono un continuum che attiva il dovere dello Stato di fornire protezione una volta stabilito che gli attacchi all'integrità di un individuo erano sufficientemente gravi da richiedere una risposta (vedi </w:t>
      </w:r>
      <w:proofErr w:type="spellStart"/>
      <w:r w:rsidRPr="004F76E5">
        <w:rPr>
          <w:rFonts w:ascii="Times New Roman" w:eastAsia="Times New Roman" w:hAnsi="Times New Roman" w:cs="Times New Roman"/>
          <w:i/>
          <w:iCs/>
          <w:color w:val="000000"/>
          <w:kern w:val="0"/>
          <w:lang w:eastAsia="it-IT"/>
          <w14:ligatures w14:val="none"/>
        </w:rPr>
        <w:t>Hanovs</w:t>
      </w:r>
      <w:proofErr w:type="spellEnd"/>
      <w:r w:rsidRPr="004F76E5">
        <w:rPr>
          <w:rFonts w:ascii="Times New Roman" w:eastAsia="Times New Roman" w:hAnsi="Times New Roman" w:cs="Times New Roman"/>
          <w:i/>
          <w:iCs/>
          <w:color w:val="000000"/>
          <w:kern w:val="0"/>
          <w:lang w:eastAsia="it-IT"/>
          <w14:ligatures w14:val="none"/>
        </w:rPr>
        <w:t xml:space="preserve"> v. Lettonia</w:t>
      </w:r>
      <w:r w:rsidRPr="004F76E5">
        <w:rPr>
          <w:rFonts w:ascii="Times New Roman" w:eastAsia="Times New Roman" w:hAnsi="Times New Roman" w:cs="Times New Roman"/>
          <w:color w:val="000000"/>
          <w:kern w:val="0"/>
          <w:lang w:eastAsia="it-IT"/>
          <w14:ligatures w14:val="none"/>
        </w:rPr>
        <w:t>, no. </w:t>
      </w:r>
      <w:hyperlink r:id="rId25" w:anchor="{%22appno%22:[%2240861/22%22]}" w:tgtFrame="_blank" w:history="1">
        <w:r w:rsidRPr="004F76E5">
          <w:rPr>
            <w:rFonts w:ascii="Times New Roman" w:eastAsia="Times New Roman" w:hAnsi="Times New Roman" w:cs="Times New Roman"/>
            <w:color w:val="0069D6"/>
            <w:kern w:val="0"/>
            <w:u w:val="single"/>
            <w:lang w:eastAsia="it-IT"/>
            <w14:ligatures w14:val="none"/>
          </w:rPr>
          <w:t>40861/22</w:t>
        </w:r>
      </w:hyperlink>
      <w:r w:rsidRPr="004F76E5">
        <w:rPr>
          <w:rFonts w:ascii="Times New Roman" w:eastAsia="Times New Roman" w:hAnsi="Times New Roman" w:cs="Times New Roman"/>
          <w:color w:val="000000"/>
          <w:kern w:val="0"/>
          <w:lang w:eastAsia="it-IT"/>
          <w14:ligatures w14:val="none"/>
        </w:rPr>
        <w:t>, § 45, 18 luglio 2024, con ulteriori riferimenti).</w:t>
      </w:r>
    </w:p>
    <w:p w14:paraId="5F931D86" w14:textId="77777777" w:rsidR="00D21F64" w:rsidRPr="004F76E5" w:rsidRDefault="00D21F64" w:rsidP="00D21F64">
      <w:pPr>
        <w:shd w:val="clear" w:color="auto" w:fill="FFFFFF"/>
        <w:spacing w:before="280"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(b) Rispetto degli obblighi positivi</w:t>
      </w:r>
      <w:r w:rsidRPr="004F76E5">
        <w:rPr>
          <w:rFonts w:ascii="Times New Roman" w:eastAsia="Times New Roman" w:hAnsi="Times New Roman" w:cs="Times New Roman"/>
          <w:color w:val="000000"/>
          <w:kern w:val="0"/>
          <w:sz w:val="14"/>
          <w:szCs w:val="14"/>
          <w:lang w:eastAsia="it-IT"/>
          <w14:ligatures w14:val="none"/>
        </w:rPr>
        <w:t>  </w:t>
      </w:r>
    </w:p>
    <w:p w14:paraId="29E0927F" w14:textId="77777777" w:rsidR="00D21F64" w:rsidRPr="004F76E5" w:rsidRDefault="00D21F64" w:rsidP="00D21F64">
      <w:pPr>
        <w:shd w:val="clear" w:color="auto" w:fill="FFFFFF"/>
        <w:spacing w:after="120" w:line="240" w:lineRule="auto"/>
        <w:ind w:left="1191" w:hanging="358"/>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(i)</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i/>
          <w:iCs/>
          <w:color w:val="000000"/>
          <w:kern w:val="0"/>
          <w:sz w:val="20"/>
          <w:szCs w:val="20"/>
          <w:lang w:eastAsia="it-IT"/>
          <w14:ligatures w14:val="none"/>
        </w:rPr>
        <w:t>Principi generali</w:t>
      </w:r>
      <w:r w:rsidRPr="004F76E5">
        <w:rPr>
          <w:rFonts w:ascii="Times New Roman" w:eastAsia="Times New Roman" w:hAnsi="Times New Roman" w:cs="Times New Roman"/>
          <w:color w:val="000000"/>
          <w:kern w:val="0"/>
          <w:sz w:val="14"/>
          <w:szCs w:val="14"/>
          <w:lang w:eastAsia="it-IT"/>
          <w14:ligatures w14:val="none"/>
        </w:rPr>
        <w:t> </w:t>
      </w:r>
    </w:p>
    <w:p w14:paraId="2760CC6F"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69. Nel </w:t>
      </w:r>
      <w:r w:rsidRPr="004F76E5">
        <w:rPr>
          <w:rFonts w:ascii="Times New Roman" w:eastAsia="Times New Roman" w:hAnsi="Times New Roman" w:cs="Times New Roman"/>
          <w:i/>
          <w:iCs/>
          <w:color w:val="000000"/>
          <w:kern w:val="0"/>
          <w:lang w:eastAsia="it-IT"/>
          <w14:ligatures w14:val="none"/>
        </w:rPr>
        <w:t xml:space="preserve">caso </w:t>
      </w:r>
      <w:proofErr w:type="spellStart"/>
      <w:r w:rsidRPr="004F76E5">
        <w:rPr>
          <w:rFonts w:ascii="Times New Roman" w:eastAsia="Times New Roman" w:hAnsi="Times New Roman" w:cs="Times New Roman"/>
          <w:i/>
          <w:iCs/>
          <w:color w:val="000000"/>
          <w:kern w:val="0"/>
          <w:lang w:eastAsia="it-IT"/>
          <w14:ligatures w14:val="none"/>
        </w:rPr>
        <w:t>Scuderoni</w:t>
      </w:r>
      <w:proofErr w:type="spellEnd"/>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(citato sopra, §§ 88-93), la Corte ha riassunto i principi generali relativi alla questione della violenza domestica.</w:t>
      </w:r>
    </w:p>
    <w:p w14:paraId="478F7DF0"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70. In particolare, la Corte ribadisce l'ambito e il contenuto dell'obbligo positivo dello Stato di prevenire il rischio di violenza ricorrente nel contesto della violenza domestica, come chiarito in </w:t>
      </w:r>
      <w:r w:rsidRPr="004F76E5">
        <w:rPr>
          <w:rFonts w:ascii="Times New Roman" w:eastAsia="Times New Roman" w:hAnsi="Times New Roman" w:cs="Times New Roman"/>
          <w:i/>
          <w:iCs/>
          <w:color w:val="000000"/>
          <w:kern w:val="0"/>
          <w:lang w:eastAsia="it-IT"/>
          <w14:ligatures w14:val="none"/>
        </w:rPr>
        <w:t>Kurt v. Austria</w:t>
      </w:r>
      <w:r w:rsidRPr="004F76E5">
        <w:rPr>
          <w:rFonts w:ascii="Times New Roman" w:eastAsia="Times New Roman" w:hAnsi="Times New Roman" w:cs="Times New Roman"/>
          <w:color w:val="000000"/>
          <w:kern w:val="0"/>
          <w:lang w:eastAsia="it-IT"/>
          <w14:ligatures w14:val="none"/>
        </w:rPr>
        <w:t> ([GC], n. </w:t>
      </w:r>
      <w:hyperlink r:id="rId26" w:anchor="{%22appno%22:[%2262903/15%22]}" w:tgtFrame="_blank" w:history="1">
        <w:r w:rsidRPr="004F76E5">
          <w:rPr>
            <w:rFonts w:ascii="Times New Roman" w:eastAsia="Times New Roman" w:hAnsi="Times New Roman" w:cs="Times New Roman"/>
            <w:color w:val="0069D6"/>
            <w:kern w:val="0"/>
            <w:u w:val="single"/>
            <w:lang w:eastAsia="it-IT"/>
            <w14:ligatures w14:val="none"/>
          </w:rPr>
          <w:t>62903/15</w:t>
        </w:r>
      </w:hyperlink>
      <w:r w:rsidRPr="004F76E5">
        <w:rPr>
          <w:rFonts w:ascii="Times New Roman" w:eastAsia="Times New Roman" w:hAnsi="Times New Roman" w:cs="Times New Roman"/>
          <w:color w:val="000000"/>
          <w:kern w:val="0"/>
          <w:lang w:eastAsia="it-IT"/>
          <w14:ligatures w14:val="none"/>
        </w:rPr>
        <w:t>, §§ 157-89, 15 giugno 2021) e riassunta come segue (ibid., § 190):</w:t>
      </w:r>
    </w:p>
    <w:p w14:paraId="66DF4231"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(a) Le autorità devono rispondere immediatamente alle accuse di violenza domestica.</w:t>
      </w:r>
    </w:p>
    <w:p w14:paraId="1DFB421F"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(b) Quando tali accuse vengono portate alla loro attenzione, le autorità devono determinare se esiste un rischio reale e immediato per la vita delle vittime identificate di violenza domestica e, a tal fine, devono effettuare una valutazione del rischio autonoma, proattiva e completa. Devono prestare la dovuta considerazione al contesto particolare dei casi di violenza domestica quando valutano se il rischio sia reale e immediato.</w:t>
      </w:r>
    </w:p>
    <w:p w14:paraId="4B245D74"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(c) Quando tale valutazione rivela l'esistenza di un rischio reale e immediato per la vita altrui, le autorità sono obbligate a adottare misure operative preventive. Tali misure devono essere adeguate e proporzionate al livello di rischio identificato.</w:t>
      </w:r>
    </w:p>
    <w:p w14:paraId="4D21FBD7"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71</w:t>
      </w:r>
      <w:r w:rsidRPr="004F76E5">
        <w:rPr>
          <w:rFonts w:ascii="Times New Roman" w:eastAsia="Times New Roman" w:hAnsi="Times New Roman" w:cs="Times New Roman"/>
          <w:color w:val="000000"/>
          <w:kern w:val="0"/>
          <w:lang w:eastAsia="it-IT"/>
          <w14:ligatures w14:val="none"/>
        </w:rPr>
        <w:t>. Inoltre, quando si accerta che un individuo è stato sistematicamente preso di mira e che è probabile che ne seguano abusi futuri, oltre alle risposte a incidenti specifici, le autorità possono essere chiamate a attuare un'azione appropriata di natura generale per combattere il problema di fondo e prevenire futuri maltrattamenti (vedi </w:t>
      </w:r>
      <w:proofErr w:type="spellStart"/>
      <w:r w:rsidRPr="004F76E5">
        <w:rPr>
          <w:rFonts w:ascii="Times New Roman" w:eastAsia="Times New Roman" w:hAnsi="Times New Roman" w:cs="Times New Roman"/>
          <w:i/>
          <w:iCs/>
          <w:color w:val="000000"/>
          <w:kern w:val="0"/>
          <w:lang w:eastAsia="it-IT"/>
          <w14:ligatures w14:val="none"/>
        </w:rPr>
        <w:t>Đorđević</w:t>
      </w:r>
      <w:proofErr w:type="spellEnd"/>
      <w:r w:rsidRPr="004F76E5">
        <w:rPr>
          <w:rFonts w:ascii="Times New Roman" w:eastAsia="Times New Roman" w:hAnsi="Times New Roman" w:cs="Times New Roman"/>
          <w:i/>
          <w:iCs/>
          <w:color w:val="000000"/>
          <w:kern w:val="0"/>
          <w:lang w:eastAsia="it-IT"/>
          <w14:ligatures w14:val="none"/>
        </w:rPr>
        <w:t xml:space="preserve"> v. Croazia</w:t>
      </w:r>
      <w:r w:rsidRPr="004F76E5">
        <w:rPr>
          <w:rFonts w:ascii="Times New Roman" w:eastAsia="Times New Roman" w:hAnsi="Times New Roman" w:cs="Times New Roman"/>
          <w:color w:val="000000"/>
          <w:kern w:val="0"/>
          <w:lang w:eastAsia="it-IT"/>
          <w14:ligatures w14:val="none"/>
        </w:rPr>
        <w:t>, no. </w:t>
      </w:r>
      <w:hyperlink r:id="rId27" w:anchor="{%22appno%22:[%2241526/10%22]}" w:tgtFrame="_blank" w:history="1">
        <w:r w:rsidRPr="004F76E5">
          <w:rPr>
            <w:rFonts w:ascii="Times New Roman" w:eastAsia="Times New Roman" w:hAnsi="Times New Roman" w:cs="Times New Roman"/>
            <w:color w:val="0069D6"/>
            <w:kern w:val="0"/>
            <w:u w:val="single"/>
            <w:lang w:eastAsia="it-IT"/>
            <w14:ligatures w14:val="none"/>
          </w:rPr>
          <w:t>41526/10</w:t>
        </w:r>
      </w:hyperlink>
      <w:r w:rsidRPr="004F76E5">
        <w:rPr>
          <w:rFonts w:ascii="Times New Roman" w:eastAsia="Times New Roman" w:hAnsi="Times New Roman" w:cs="Times New Roman"/>
          <w:color w:val="000000"/>
          <w:kern w:val="0"/>
          <w:lang w:eastAsia="it-IT"/>
          <w14:ligatures w14:val="none"/>
        </w:rPr>
        <w:t>, §§ 92-93 e 147-49, CEDU 2012 e </w:t>
      </w:r>
      <w:proofErr w:type="spellStart"/>
      <w:r w:rsidRPr="004F76E5">
        <w:rPr>
          <w:rFonts w:ascii="Times New Roman" w:eastAsia="Times New Roman" w:hAnsi="Times New Roman" w:cs="Times New Roman"/>
          <w:i/>
          <w:iCs/>
          <w:color w:val="000000"/>
          <w:kern w:val="0"/>
          <w:lang w:eastAsia="it-IT"/>
          <w14:ligatures w14:val="none"/>
        </w:rPr>
        <w:t>Levchuk</w:t>
      </w:r>
      <w:proofErr w:type="spellEnd"/>
      <w:r w:rsidRPr="004F76E5">
        <w:rPr>
          <w:rFonts w:ascii="Times New Roman" w:eastAsia="Times New Roman" w:hAnsi="Times New Roman" w:cs="Times New Roman"/>
          <w:i/>
          <w:iCs/>
          <w:color w:val="000000"/>
          <w:kern w:val="0"/>
          <w:lang w:eastAsia="it-IT"/>
          <w14:ligatures w14:val="none"/>
        </w:rPr>
        <w:t xml:space="preserve"> contro Ucraina</w:t>
      </w:r>
      <w:r w:rsidRPr="004F76E5">
        <w:rPr>
          <w:rFonts w:ascii="Times New Roman" w:eastAsia="Times New Roman" w:hAnsi="Times New Roman" w:cs="Times New Roman"/>
          <w:color w:val="000000"/>
          <w:kern w:val="0"/>
          <w:lang w:eastAsia="it-IT"/>
          <w14:ligatures w14:val="none"/>
        </w:rPr>
        <w:t>, no. </w:t>
      </w:r>
      <w:hyperlink r:id="rId28" w:anchor="{%22appno%22:[%2217496/19%22]}" w:tgtFrame="_blank" w:history="1">
        <w:r w:rsidRPr="004F76E5">
          <w:rPr>
            <w:rFonts w:ascii="Times New Roman" w:eastAsia="Times New Roman" w:hAnsi="Times New Roman" w:cs="Times New Roman"/>
            <w:color w:val="0069D6"/>
            <w:kern w:val="0"/>
            <w:u w:val="single"/>
            <w:lang w:eastAsia="it-IT"/>
            <w14:ligatures w14:val="none"/>
          </w:rPr>
          <w:t>17496/19</w:t>
        </w:r>
      </w:hyperlink>
      <w:r w:rsidRPr="004F76E5">
        <w:rPr>
          <w:rFonts w:ascii="Times New Roman" w:eastAsia="Times New Roman" w:hAnsi="Times New Roman" w:cs="Times New Roman"/>
          <w:color w:val="000000"/>
          <w:kern w:val="0"/>
          <w:lang w:eastAsia="it-IT"/>
          <w14:ligatures w14:val="none"/>
        </w:rPr>
        <w:t>, § 80, 3 settembre 2020).</w:t>
      </w:r>
    </w:p>
    <w:p w14:paraId="2BC732A2"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3" w:name="paragraph00071"/>
      <w:r w:rsidRPr="004F76E5">
        <w:rPr>
          <w:rFonts w:ascii="Times New Roman" w:eastAsia="Times New Roman" w:hAnsi="Times New Roman" w:cs="Times New Roman"/>
          <w:b/>
          <w:bCs/>
          <w:color w:val="000000"/>
          <w:kern w:val="0"/>
          <w:lang w:eastAsia="it-IT"/>
          <w14:ligatures w14:val="none"/>
        </w:rPr>
        <w:t>72</w:t>
      </w:r>
      <w:bookmarkEnd w:id="43"/>
      <w:r w:rsidRPr="004F76E5">
        <w:rPr>
          <w:rFonts w:ascii="Times New Roman" w:eastAsia="Times New Roman" w:hAnsi="Times New Roman" w:cs="Times New Roman"/>
          <w:color w:val="000000"/>
          <w:kern w:val="0"/>
          <w:lang w:eastAsia="it-IT"/>
          <w14:ligatures w14:val="none"/>
        </w:rPr>
        <w:t xml:space="preserve">. La Corte ribadisce inoltre che gli articoli 2, 3 e 8 della Convenzione impongono anche agli Stati un obbligo procedurale positivo. Pertanto, l'obbligo di condurre un'indagine efficace su tutti gli </w:t>
      </w:r>
      <w:r w:rsidRPr="004F76E5">
        <w:rPr>
          <w:rFonts w:ascii="Times New Roman" w:eastAsia="Times New Roman" w:hAnsi="Times New Roman" w:cs="Times New Roman"/>
          <w:color w:val="000000"/>
          <w:kern w:val="0"/>
          <w:lang w:eastAsia="it-IT"/>
          <w14:ligatures w14:val="none"/>
        </w:rPr>
        <w:lastRenderedPageBreak/>
        <w:t>atti di violenza domestica è un elemento essenziale degli obblighi imposti allo Stato ai sensi dell'articolo 3 della Convenzione (vedi </w:t>
      </w:r>
      <w:proofErr w:type="spellStart"/>
      <w:r w:rsidRPr="004F76E5">
        <w:rPr>
          <w:rFonts w:ascii="Times New Roman" w:eastAsia="Times New Roman" w:hAnsi="Times New Roman" w:cs="Times New Roman"/>
          <w:i/>
          <w:iCs/>
          <w:color w:val="000000"/>
          <w:kern w:val="0"/>
          <w:lang w:eastAsia="it-IT"/>
          <w14:ligatures w14:val="none"/>
        </w:rPr>
        <w:t>Volodina</w:t>
      </w:r>
      <w:proofErr w:type="spellEnd"/>
      <w:r w:rsidRPr="004F76E5">
        <w:rPr>
          <w:rFonts w:ascii="Times New Roman" w:eastAsia="Times New Roman" w:hAnsi="Times New Roman" w:cs="Times New Roman"/>
          <w:color w:val="000000"/>
          <w:kern w:val="0"/>
          <w:lang w:eastAsia="it-IT"/>
          <w14:ligatures w14:val="none"/>
        </w:rPr>
        <w:t>, §§ 76-77, e </w:t>
      </w:r>
      <w:bookmarkStart w:id="44" w:name="_cl45046THELAW"/>
      <w:proofErr w:type="spellStart"/>
      <w:r w:rsidRPr="004F76E5">
        <w:rPr>
          <w:rFonts w:ascii="Times New Roman" w:eastAsia="Times New Roman" w:hAnsi="Times New Roman" w:cs="Times New Roman"/>
          <w:i/>
          <w:iCs/>
          <w:color w:val="000000"/>
          <w:kern w:val="0"/>
          <w:lang w:eastAsia="it-IT"/>
          <w14:ligatures w14:val="none"/>
        </w:rPr>
        <w:t>Scuderoni</w:t>
      </w:r>
      <w:proofErr w:type="spellEnd"/>
      <w:r w:rsidRPr="004F76E5">
        <w:rPr>
          <w:rFonts w:ascii="Times New Roman" w:eastAsia="Times New Roman" w:hAnsi="Times New Roman" w:cs="Times New Roman"/>
          <w:color w:val="000000"/>
          <w:kern w:val="0"/>
          <w:lang w:eastAsia="it-IT"/>
          <w14:ligatures w14:val="none"/>
        </w:rPr>
        <w:t>,</w:t>
      </w:r>
      <w:r w:rsidRPr="004F76E5">
        <w:rPr>
          <w:rFonts w:ascii="Times New Roman" w:eastAsia="Times New Roman" w:hAnsi="Times New Roman" w:cs="Times New Roman"/>
          <w:i/>
          <w:iCs/>
          <w:color w:val="000000"/>
          <w:kern w:val="0"/>
          <w:lang w:eastAsia="it-IT"/>
          <w14:ligatures w14:val="none"/>
        </w:rPr>
        <w:t> </w:t>
      </w:r>
      <w:bookmarkEnd w:id="44"/>
      <w:r w:rsidRPr="004F76E5">
        <w:rPr>
          <w:rFonts w:ascii="Times New Roman" w:eastAsia="Times New Roman" w:hAnsi="Times New Roman" w:cs="Times New Roman"/>
          <w:color w:val="000000"/>
          <w:kern w:val="0"/>
          <w:lang w:eastAsia="it-IT"/>
          <w14:ligatures w14:val="none"/>
        </w:rPr>
        <w:t>§ 91, entrambi citate sopra).</w:t>
      </w:r>
    </w:p>
    <w:p w14:paraId="13EE4E4A"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73.</w:t>
      </w:r>
      <w:r w:rsidRPr="004F76E5">
        <w:rPr>
          <w:rFonts w:ascii="Times New Roman" w:eastAsia="Times New Roman" w:hAnsi="Times New Roman" w:cs="Times New Roman"/>
          <w:color w:val="000000"/>
          <w:kern w:val="0"/>
          <w:lang w:eastAsia="it-IT"/>
          <w14:ligatures w14:val="none"/>
        </w:rPr>
        <w:t> Per essere efficace, tale indagine deve essere tempestiva e approfondita; questi requisiti si applicano all'intero procedimento, anche durante la fase del processo (vedi </w:t>
      </w:r>
      <w:r w:rsidRPr="004F76E5">
        <w:rPr>
          <w:rFonts w:ascii="Times New Roman" w:eastAsia="Times New Roman" w:hAnsi="Times New Roman" w:cs="Times New Roman"/>
          <w:i/>
          <w:iCs/>
          <w:color w:val="000000"/>
          <w:kern w:val="0"/>
          <w:lang w:eastAsia="it-IT"/>
          <w14:ligatures w14:val="none"/>
        </w:rPr>
        <w:t>M.A. contro Slovenia</w:t>
      </w:r>
      <w:r w:rsidRPr="004F76E5">
        <w:rPr>
          <w:rFonts w:ascii="Times New Roman" w:eastAsia="Times New Roman" w:hAnsi="Times New Roman" w:cs="Times New Roman"/>
          <w:color w:val="000000"/>
          <w:kern w:val="0"/>
          <w:lang w:eastAsia="it-IT"/>
          <w14:ligatures w14:val="none"/>
        </w:rPr>
        <w:t>, n. </w:t>
      </w:r>
      <w:hyperlink r:id="rId29" w:anchor="{%22appno%22:[%223400/07%22]}" w:tgtFrame="_blank" w:history="1">
        <w:r w:rsidRPr="004F76E5">
          <w:rPr>
            <w:rFonts w:ascii="Times New Roman" w:eastAsia="Times New Roman" w:hAnsi="Times New Roman" w:cs="Times New Roman"/>
            <w:color w:val="0069D6"/>
            <w:kern w:val="0"/>
            <w:u w:val="single"/>
            <w:lang w:eastAsia="it-IT"/>
            <w14:ligatures w14:val="none"/>
          </w:rPr>
          <w:t>3400/07</w:t>
        </w:r>
      </w:hyperlink>
      <w:r w:rsidRPr="004F76E5">
        <w:rPr>
          <w:rFonts w:ascii="Times New Roman" w:eastAsia="Times New Roman" w:hAnsi="Times New Roman" w:cs="Times New Roman"/>
          <w:color w:val="000000"/>
          <w:kern w:val="0"/>
          <w:lang w:eastAsia="it-IT"/>
          <w14:ligatures w14:val="none"/>
        </w:rPr>
        <w:t>, § 48, 15 gennaio 2015; </w:t>
      </w:r>
      <w:proofErr w:type="spellStart"/>
      <w:r w:rsidRPr="004F76E5">
        <w:rPr>
          <w:rFonts w:ascii="Times New Roman" w:eastAsia="Times New Roman" w:hAnsi="Times New Roman" w:cs="Times New Roman"/>
          <w:i/>
          <w:iCs/>
          <w:color w:val="000000"/>
          <w:kern w:val="0"/>
          <w:lang w:eastAsia="it-IT"/>
          <w14:ligatures w14:val="none"/>
        </w:rPr>
        <w:t>Kosteckas</w:t>
      </w:r>
      <w:proofErr w:type="spellEnd"/>
      <w:r w:rsidRPr="004F76E5">
        <w:rPr>
          <w:rFonts w:ascii="Times New Roman" w:eastAsia="Times New Roman" w:hAnsi="Times New Roman" w:cs="Times New Roman"/>
          <w:i/>
          <w:iCs/>
          <w:color w:val="000000"/>
          <w:kern w:val="0"/>
          <w:lang w:eastAsia="it-IT"/>
          <w14:ligatures w14:val="none"/>
        </w:rPr>
        <w:t xml:space="preserve"> contro Lituania</w:t>
      </w:r>
      <w:r w:rsidRPr="004F76E5">
        <w:rPr>
          <w:rFonts w:ascii="Times New Roman" w:eastAsia="Times New Roman" w:hAnsi="Times New Roman" w:cs="Times New Roman"/>
          <w:color w:val="000000"/>
          <w:kern w:val="0"/>
          <w:lang w:eastAsia="it-IT"/>
          <w14:ligatures w14:val="none"/>
        </w:rPr>
        <w:t>, no. </w:t>
      </w:r>
      <w:hyperlink r:id="rId30" w:anchor="{%22appno%22:[%22960/13%22]}" w:tgtFrame="_blank" w:history="1">
        <w:r w:rsidRPr="004F76E5">
          <w:rPr>
            <w:rFonts w:ascii="Times New Roman" w:eastAsia="Times New Roman" w:hAnsi="Times New Roman" w:cs="Times New Roman"/>
            <w:color w:val="0069D6"/>
            <w:kern w:val="0"/>
            <w:u w:val="single"/>
            <w:lang w:eastAsia="it-IT"/>
            <w14:ligatures w14:val="none"/>
          </w:rPr>
          <w:t>960/13</w:t>
        </w:r>
      </w:hyperlink>
      <w:r w:rsidRPr="004F76E5">
        <w:rPr>
          <w:rFonts w:ascii="Times New Roman" w:eastAsia="Times New Roman" w:hAnsi="Times New Roman" w:cs="Times New Roman"/>
          <w:color w:val="000000"/>
          <w:kern w:val="0"/>
          <w:lang w:eastAsia="it-IT"/>
          <w14:ligatures w14:val="none"/>
        </w:rPr>
        <w:t>, § 41, 13 giugno 2017; e </w:t>
      </w:r>
      <w:r w:rsidRPr="004F76E5">
        <w:rPr>
          <w:rFonts w:ascii="Times New Roman" w:eastAsia="Times New Roman" w:hAnsi="Times New Roman" w:cs="Times New Roman"/>
          <w:i/>
          <w:iCs/>
          <w:color w:val="000000"/>
          <w:kern w:val="0"/>
          <w:lang w:eastAsia="it-IT"/>
          <w14:ligatures w14:val="none"/>
        </w:rPr>
        <w:t>M.S. contro Italia</w:t>
      </w:r>
      <w:r w:rsidRPr="004F76E5">
        <w:rPr>
          <w:rFonts w:ascii="Times New Roman" w:eastAsia="Times New Roman" w:hAnsi="Times New Roman" w:cs="Times New Roman"/>
          <w:color w:val="000000"/>
          <w:kern w:val="0"/>
          <w:lang w:eastAsia="it-IT"/>
          <w14:ligatures w14:val="none"/>
        </w:rPr>
        <w:t>, no. </w:t>
      </w:r>
      <w:hyperlink r:id="rId31" w:anchor="{%22appno%22:[%2232715/19%22]}" w:tgtFrame="_blank" w:history="1">
        <w:r w:rsidRPr="004F76E5">
          <w:rPr>
            <w:rFonts w:ascii="Times New Roman" w:eastAsia="Times New Roman" w:hAnsi="Times New Roman" w:cs="Times New Roman"/>
            <w:color w:val="0069D6"/>
            <w:kern w:val="0"/>
            <w:u w:val="single"/>
            <w:lang w:eastAsia="it-IT"/>
            <w14:ligatures w14:val="none"/>
          </w:rPr>
          <w:t>32715/19</w:t>
        </w:r>
      </w:hyperlink>
      <w:r w:rsidRPr="004F76E5">
        <w:rPr>
          <w:rFonts w:ascii="Times New Roman" w:eastAsia="Times New Roman" w:hAnsi="Times New Roman" w:cs="Times New Roman"/>
          <w:color w:val="000000"/>
          <w:kern w:val="0"/>
          <w:lang w:eastAsia="it-IT"/>
          <w14:ligatures w14:val="none"/>
        </w:rPr>
        <w:t>, §§ 134 e 139, 7 luglio 2022). Le autorità sono tenute a prendere tutte le misure ragionevoli per ottenere prove relative all'incidente, incluse le prove forensi. È necessaria una particolare diligenza nei casi di violenza domestica, e la natura specifica di tale violenza deve essere presa in considerazione (vedi </w:t>
      </w:r>
      <w:proofErr w:type="spellStart"/>
      <w:r w:rsidRPr="004F76E5">
        <w:rPr>
          <w:rFonts w:ascii="Times New Roman" w:eastAsia="Times New Roman" w:hAnsi="Times New Roman" w:cs="Times New Roman"/>
          <w:i/>
          <w:iCs/>
          <w:color w:val="000000"/>
          <w:kern w:val="0"/>
          <w:lang w:eastAsia="it-IT"/>
          <w14:ligatures w14:val="none"/>
        </w:rPr>
        <w:t>Tunikova</w:t>
      </w:r>
      <w:proofErr w:type="spellEnd"/>
      <w:r w:rsidRPr="004F76E5">
        <w:rPr>
          <w:rFonts w:ascii="Times New Roman" w:eastAsia="Times New Roman" w:hAnsi="Times New Roman" w:cs="Times New Roman"/>
          <w:i/>
          <w:iCs/>
          <w:color w:val="000000"/>
          <w:kern w:val="0"/>
          <w:lang w:eastAsia="it-IT"/>
          <w14:ligatures w14:val="none"/>
        </w:rPr>
        <w:t xml:space="preserve"> e altri contro Russia</w:t>
      </w:r>
      <w:r w:rsidRPr="004F76E5">
        <w:rPr>
          <w:rFonts w:ascii="Times New Roman" w:eastAsia="Times New Roman" w:hAnsi="Times New Roman" w:cs="Times New Roman"/>
          <w:color w:val="000000"/>
          <w:kern w:val="0"/>
          <w:lang w:eastAsia="it-IT"/>
          <w14:ligatures w14:val="none"/>
        </w:rPr>
        <w:t>, n. </w:t>
      </w:r>
      <w:hyperlink r:id="rId32" w:anchor="{%22appno%22:[%2255974/16%22]}" w:tgtFrame="_blank" w:history="1">
        <w:r w:rsidRPr="004F76E5">
          <w:rPr>
            <w:rFonts w:ascii="Times New Roman" w:eastAsia="Times New Roman" w:hAnsi="Times New Roman" w:cs="Times New Roman"/>
            <w:color w:val="0069D6"/>
            <w:kern w:val="0"/>
            <w:u w:val="single"/>
            <w:lang w:eastAsia="it-IT"/>
            <w14:ligatures w14:val="none"/>
          </w:rPr>
          <w:t>55974/16</w:t>
        </w:r>
      </w:hyperlink>
      <w:r w:rsidRPr="004F76E5">
        <w:rPr>
          <w:rFonts w:ascii="Times New Roman" w:eastAsia="Times New Roman" w:hAnsi="Times New Roman" w:cs="Times New Roman"/>
          <w:color w:val="000000"/>
          <w:kern w:val="0"/>
          <w:lang w:eastAsia="it-IT"/>
          <w14:ligatures w14:val="none"/>
        </w:rPr>
        <w:t> e 3 altri, § 114, 14 dicembre 2021, e </w:t>
      </w:r>
      <w:proofErr w:type="spellStart"/>
      <w:r w:rsidRPr="004F76E5">
        <w:rPr>
          <w:rFonts w:ascii="Times New Roman" w:eastAsia="Times New Roman" w:hAnsi="Times New Roman" w:cs="Times New Roman"/>
          <w:i/>
          <w:iCs/>
          <w:color w:val="000000"/>
          <w:kern w:val="0"/>
          <w:lang w:eastAsia="it-IT"/>
          <w14:ligatures w14:val="none"/>
        </w:rPr>
        <w:t>Vieru</w:t>
      </w:r>
      <w:proofErr w:type="spellEnd"/>
      <w:r w:rsidRPr="004F76E5">
        <w:rPr>
          <w:rFonts w:ascii="Times New Roman" w:eastAsia="Times New Roman" w:hAnsi="Times New Roman" w:cs="Times New Roman"/>
          <w:i/>
          <w:iCs/>
          <w:color w:val="000000"/>
          <w:kern w:val="0"/>
          <w:lang w:eastAsia="it-IT"/>
          <w14:ligatures w14:val="none"/>
        </w:rPr>
        <w:t xml:space="preserve"> contro la Repubblica di Moldova</w:t>
      </w:r>
      <w:r w:rsidRPr="004F76E5">
        <w:rPr>
          <w:rFonts w:ascii="Times New Roman" w:eastAsia="Times New Roman" w:hAnsi="Times New Roman" w:cs="Times New Roman"/>
          <w:color w:val="000000"/>
          <w:kern w:val="0"/>
          <w:lang w:eastAsia="it-IT"/>
          <w14:ligatures w14:val="none"/>
        </w:rPr>
        <w:t>, n. </w:t>
      </w:r>
      <w:hyperlink r:id="rId33" w:anchor="{%22appno%22:[%2217106/18%22]}" w:tgtFrame="_blank" w:history="1">
        <w:r w:rsidRPr="004F76E5">
          <w:rPr>
            <w:rFonts w:ascii="Times New Roman" w:eastAsia="Times New Roman" w:hAnsi="Times New Roman" w:cs="Times New Roman"/>
            <w:color w:val="0069D6"/>
            <w:kern w:val="0"/>
            <w:u w:val="single"/>
            <w:lang w:eastAsia="it-IT"/>
            <w14:ligatures w14:val="none"/>
          </w:rPr>
          <w:t>17106/18</w:t>
        </w:r>
      </w:hyperlink>
      <w:r w:rsidRPr="004F76E5">
        <w:rPr>
          <w:rFonts w:ascii="Times New Roman" w:eastAsia="Times New Roman" w:hAnsi="Times New Roman" w:cs="Times New Roman"/>
          <w:color w:val="000000"/>
          <w:kern w:val="0"/>
          <w:lang w:eastAsia="it-IT"/>
          <w14:ligatures w14:val="none"/>
        </w:rPr>
        <w:t>, § 81, 19 novembre 2024).</w:t>
      </w:r>
    </w:p>
    <w:p w14:paraId="383E33C4"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5" w:name="paragraph00073"/>
      <w:r w:rsidRPr="004F76E5">
        <w:rPr>
          <w:rFonts w:ascii="Times New Roman" w:eastAsia="Times New Roman" w:hAnsi="Times New Roman" w:cs="Times New Roman"/>
          <w:b/>
          <w:bCs/>
          <w:color w:val="000000"/>
          <w:kern w:val="0"/>
          <w:lang w:eastAsia="it-IT"/>
          <w14:ligatures w14:val="none"/>
        </w:rPr>
        <w:t>74</w:t>
      </w:r>
      <w:bookmarkEnd w:id="45"/>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L'obbligo di indagare che spettava allo Stato non sarà soddisfatto se la protezione garantita dal diritto interno esiste solo in teoria; soprattutto, deve operare efficacemente anche nella pratica, il che richiede un esame tempestivo del caso senza ritardi inutili (vedi </w:t>
      </w:r>
      <w:proofErr w:type="spellStart"/>
      <w:r w:rsidRPr="004F76E5">
        <w:rPr>
          <w:rFonts w:ascii="Times New Roman" w:eastAsia="Times New Roman" w:hAnsi="Times New Roman" w:cs="Times New Roman"/>
          <w:i/>
          <w:iCs/>
          <w:color w:val="000000"/>
          <w:kern w:val="0"/>
          <w:lang w:eastAsia="it-IT"/>
          <w14:ligatures w14:val="none"/>
        </w:rPr>
        <w:t>Opuz</w:t>
      </w:r>
      <w:proofErr w:type="spellEnd"/>
      <w:r w:rsidRPr="004F76E5">
        <w:rPr>
          <w:rFonts w:ascii="Times New Roman" w:eastAsia="Times New Roman" w:hAnsi="Times New Roman" w:cs="Times New Roman"/>
          <w:color w:val="000000"/>
          <w:kern w:val="0"/>
          <w:lang w:eastAsia="it-IT"/>
          <w14:ligatures w14:val="none"/>
        </w:rPr>
        <w:t>, citato sopra, §§ 145-51 e 168, e </w:t>
      </w:r>
      <w:proofErr w:type="spellStart"/>
      <w:r w:rsidRPr="004F76E5">
        <w:rPr>
          <w:rFonts w:ascii="Times New Roman" w:eastAsia="Times New Roman" w:hAnsi="Times New Roman" w:cs="Times New Roman"/>
          <w:i/>
          <w:iCs/>
          <w:color w:val="000000"/>
          <w:kern w:val="0"/>
          <w:lang w:eastAsia="it-IT"/>
          <w14:ligatures w14:val="none"/>
        </w:rPr>
        <w:t>Talpis</w:t>
      </w:r>
      <w:proofErr w:type="spellEnd"/>
      <w:r w:rsidRPr="004F76E5">
        <w:rPr>
          <w:rFonts w:ascii="Times New Roman" w:eastAsia="Times New Roman" w:hAnsi="Times New Roman" w:cs="Times New Roman"/>
          <w:i/>
          <w:iCs/>
          <w:color w:val="000000"/>
          <w:kern w:val="0"/>
          <w:lang w:eastAsia="it-IT"/>
          <w14:ligatures w14:val="none"/>
        </w:rPr>
        <w:t xml:space="preserve"> contro Italia</w:t>
      </w:r>
      <w:r w:rsidRPr="004F76E5">
        <w:rPr>
          <w:rFonts w:ascii="Times New Roman" w:eastAsia="Times New Roman" w:hAnsi="Times New Roman" w:cs="Times New Roman"/>
          <w:color w:val="000000"/>
          <w:kern w:val="0"/>
          <w:lang w:eastAsia="it-IT"/>
          <w14:ligatures w14:val="none"/>
        </w:rPr>
        <w:t>, n. </w:t>
      </w:r>
      <w:hyperlink r:id="rId34" w:anchor="{%22appno%22:[%2241237/14%22]}" w:tgtFrame="_blank" w:history="1">
        <w:r w:rsidRPr="004F76E5">
          <w:rPr>
            <w:rFonts w:ascii="Times New Roman" w:eastAsia="Times New Roman" w:hAnsi="Times New Roman" w:cs="Times New Roman"/>
            <w:color w:val="0069D6"/>
            <w:kern w:val="0"/>
            <w:u w:val="single"/>
            <w:lang w:eastAsia="it-IT"/>
            <w14:ligatures w14:val="none"/>
          </w:rPr>
          <w:t>41237/14</w:t>
        </w:r>
      </w:hyperlink>
      <w:r w:rsidRPr="004F76E5">
        <w:rPr>
          <w:rFonts w:ascii="Times New Roman" w:eastAsia="Times New Roman" w:hAnsi="Times New Roman" w:cs="Times New Roman"/>
          <w:color w:val="000000"/>
          <w:kern w:val="0"/>
          <w:lang w:eastAsia="it-IT"/>
          <w14:ligatures w14:val="none"/>
        </w:rPr>
        <w:t>, §§ 106 e 129-30, 2 marzo 2017). Il principio di efficacia implica che le autorità giudiziarie nazionali non debbano in alcun caso essere disposte a lasciare impunite le sofferenze fisiche o psicologiche inflitte. Ciò è essenziale per mantenere la fiducia pubblica e il sostegno allo stato di diritto e per prevenire qualsiasi apparenza di tolleranza o collusione con atti di violenza (vedi </w:t>
      </w:r>
      <w:r w:rsidRPr="004F76E5">
        <w:rPr>
          <w:rFonts w:ascii="Times New Roman" w:eastAsia="Times New Roman" w:hAnsi="Times New Roman" w:cs="Times New Roman"/>
          <w:i/>
          <w:iCs/>
          <w:color w:val="000000"/>
          <w:kern w:val="0"/>
          <w:lang w:eastAsia="it-IT"/>
          <w14:ligatures w14:val="none"/>
        </w:rPr>
        <w:t>De Giorgi contro Italia</w:t>
      </w:r>
      <w:r w:rsidRPr="004F76E5">
        <w:rPr>
          <w:rFonts w:ascii="Times New Roman" w:eastAsia="Times New Roman" w:hAnsi="Times New Roman" w:cs="Times New Roman"/>
          <w:color w:val="000000"/>
          <w:kern w:val="0"/>
          <w:lang w:eastAsia="it-IT"/>
          <w14:ligatures w14:val="none"/>
        </w:rPr>
        <w:t>,</w:t>
      </w:r>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n. </w:t>
      </w:r>
      <w:hyperlink r:id="rId35" w:anchor="{%22appno%22:[%2223735/19%22]}" w:tgtFrame="_blank" w:history="1">
        <w:r w:rsidRPr="004F76E5">
          <w:rPr>
            <w:rFonts w:ascii="Times New Roman" w:eastAsia="Times New Roman" w:hAnsi="Times New Roman" w:cs="Times New Roman"/>
            <w:color w:val="0069D6"/>
            <w:kern w:val="0"/>
            <w:u w:val="single"/>
            <w:lang w:eastAsia="it-IT"/>
            <w14:ligatures w14:val="none"/>
          </w:rPr>
          <w:t>23735/19</w:t>
        </w:r>
      </w:hyperlink>
      <w:r w:rsidRPr="004F76E5">
        <w:rPr>
          <w:rFonts w:ascii="Times New Roman" w:eastAsia="Times New Roman" w:hAnsi="Times New Roman" w:cs="Times New Roman"/>
          <w:color w:val="000000"/>
          <w:kern w:val="0"/>
          <w:lang w:eastAsia="it-IT"/>
          <w14:ligatures w14:val="none"/>
        </w:rPr>
        <w:t>, § 81, 16 giugno 2022).</w:t>
      </w:r>
    </w:p>
    <w:p w14:paraId="4554B999"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75.</w:t>
      </w:r>
      <w:r w:rsidRPr="004F76E5">
        <w:rPr>
          <w:rFonts w:ascii="Times New Roman" w:eastAsia="Times New Roman" w:hAnsi="Times New Roman" w:cs="Times New Roman"/>
          <w:color w:val="000000"/>
          <w:kern w:val="0"/>
          <w:lang w:eastAsia="it-IT"/>
          <w14:ligatures w14:val="none"/>
        </w:rPr>
        <w:t> Tuttavia, la Corte ribadisce che l'obbligo procedurale è un requisito dei mezzi e non dei risultati. Non esiste un diritto assoluto all'accusa o alla condanna di una persona in particolare se non si sono verificati insuccessi colpevoli negli sforzi delle autorità per ritenere i colpevoli responsabili. Il semplice fatto che un'indagine abbia prodotto risultati limitati o inconcludenti non indica, di per sé, alcun fallimento. Sebbene le autorità debbano adottare tutte le misure ragionevoli per raccogliere prove, chiarire le circostanze e condurre un'analisi approfondita, oggettiva e imparziale di tutti gli elementi rilevanti senza trascurare linee di indagine evidenti, l'obbligo procedurale non deve essere interpretato come l'imposizione di un onere impossibile o sproporzionato. La Corte non deve preoccuparsi di accuse di errori o omissioni isolate e non può sostituire le autorità nazionali nella valutazione dei fatti del caso né decidere sulla responsabilità penale dei presunti autori. Al contrario, deve concentrarsi sul fatto che vi siano state carenze significative nel procedimento, in particolare quelle in grado di compromettere la capacità dell'indagine di stabilire le circostanze o identificare i responsabili (vedi </w:t>
      </w:r>
      <w:bookmarkStart w:id="46" w:name="_cl44995THELAW"/>
      <w:r w:rsidRPr="004F76E5">
        <w:rPr>
          <w:rFonts w:ascii="Times New Roman" w:eastAsia="Times New Roman" w:hAnsi="Times New Roman" w:cs="Times New Roman"/>
          <w:i/>
          <w:iCs/>
          <w:color w:val="000000"/>
          <w:kern w:val="0"/>
          <w:lang w:eastAsia="it-IT"/>
          <w14:ligatures w14:val="none"/>
        </w:rPr>
        <w:t>B.A. v. Islanda</w:t>
      </w:r>
      <w:bookmarkEnd w:id="46"/>
      <w:r w:rsidRPr="004F76E5">
        <w:rPr>
          <w:rFonts w:ascii="Times New Roman" w:eastAsia="Times New Roman" w:hAnsi="Times New Roman" w:cs="Times New Roman"/>
          <w:color w:val="000000"/>
          <w:kern w:val="0"/>
          <w:lang w:eastAsia="it-IT"/>
          <w14:ligatures w14:val="none"/>
        </w:rPr>
        <w:t>, no. </w:t>
      </w:r>
      <w:hyperlink r:id="rId36" w:anchor="{%22appno%22:[%2217006/20%22]}" w:tgtFrame="_blank" w:history="1">
        <w:r w:rsidRPr="004F76E5">
          <w:rPr>
            <w:rFonts w:ascii="Times New Roman" w:eastAsia="Times New Roman" w:hAnsi="Times New Roman" w:cs="Times New Roman"/>
            <w:color w:val="0069D6"/>
            <w:kern w:val="0"/>
            <w:u w:val="single"/>
            <w:lang w:eastAsia="it-IT"/>
            <w14:ligatures w14:val="none"/>
          </w:rPr>
          <w:t>17006/20</w:t>
        </w:r>
      </w:hyperlink>
      <w:r w:rsidRPr="004F76E5">
        <w:rPr>
          <w:rFonts w:ascii="Times New Roman" w:eastAsia="Times New Roman" w:hAnsi="Times New Roman" w:cs="Times New Roman"/>
          <w:color w:val="000000"/>
          <w:kern w:val="0"/>
          <w:lang w:eastAsia="it-IT"/>
          <w14:ligatures w14:val="none"/>
        </w:rPr>
        <w:t>, § 57, 26 agosto 2025, e </w:t>
      </w:r>
      <w:r w:rsidRPr="004F76E5">
        <w:rPr>
          <w:rFonts w:ascii="Times New Roman" w:eastAsia="Times New Roman" w:hAnsi="Times New Roman" w:cs="Times New Roman"/>
          <w:i/>
          <w:iCs/>
          <w:color w:val="000000"/>
          <w:kern w:val="0"/>
          <w:lang w:eastAsia="it-IT"/>
          <w14:ligatures w14:val="none"/>
        </w:rPr>
        <w:t>S.M. contro Croazia </w:t>
      </w:r>
      <w:r w:rsidRPr="004F76E5">
        <w:rPr>
          <w:rFonts w:ascii="Times New Roman" w:eastAsia="Times New Roman" w:hAnsi="Times New Roman" w:cs="Times New Roman"/>
          <w:color w:val="000000"/>
          <w:kern w:val="0"/>
          <w:lang w:eastAsia="it-IT"/>
          <w14:ligatures w14:val="none"/>
        </w:rPr>
        <w:t>[GC], n. </w:t>
      </w:r>
      <w:hyperlink r:id="rId37" w:anchor="{%22appno%22:[%2260561/14%22]}" w:tgtFrame="_blank" w:history="1">
        <w:r w:rsidRPr="004F76E5">
          <w:rPr>
            <w:rFonts w:ascii="Times New Roman" w:eastAsia="Times New Roman" w:hAnsi="Times New Roman" w:cs="Times New Roman"/>
            <w:color w:val="0069D6"/>
            <w:kern w:val="0"/>
            <w:u w:val="single"/>
            <w:lang w:eastAsia="it-IT"/>
            <w14:ligatures w14:val="none"/>
          </w:rPr>
          <w:t>60561/14</w:t>
        </w:r>
      </w:hyperlink>
      <w:r w:rsidRPr="004F76E5">
        <w:rPr>
          <w:rFonts w:ascii="Times New Roman" w:eastAsia="Times New Roman" w:hAnsi="Times New Roman" w:cs="Times New Roman"/>
          <w:color w:val="000000"/>
          <w:kern w:val="0"/>
          <w:lang w:eastAsia="it-IT"/>
          <w14:ligatures w14:val="none"/>
        </w:rPr>
        <w:t>, §§ 315-20, 25 giugno 2020, con ulteriori riferimenti).</w:t>
      </w:r>
    </w:p>
    <w:p w14:paraId="5E6102CA" w14:textId="77777777" w:rsidR="00D21F64" w:rsidRPr="004F76E5" w:rsidRDefault="00D21F64" w:rsidP="00D21F64">
      <w:pPr>
        <w:shd w:val="clear" w:color="auto" w:fill="FFFFFF"/>
        <w:spacing w:before="280" w:after="120" w:line="240" w:lineRule="auto"/>
        <w:ind w:left="1191" w:hanging="358"/>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(ii)</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i/>
          <w:iCs/>
          <w:color w:val="000000"/>
          <w:kern w:val="0"/>
          <w:sz w:val="20"/>
          <w:szCs w:val="20"/>
          <w:lang w:eastAsia="it-IT"/>
          <w14:ligatures w14:val="none"/>
        </w:rPr>
        <w:t>Applicazione di questi principi al caso presente</w:t>
      </w:r>
    </w:p>
    <w:p w14:paraId="4AB4E1EA"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7" w:name="paragraph00075"/>
      <w:r w:rsidRPr="004F76E5">
        <w:rPr>
          <w:rFonts w:ascii="Times New Roman" w:eastAsia="Times New Roman" w:hAnsi="Times New Roman" w:cs="Times New Roman"/>
          <w:b/>
          <w:bCs/>
          <w:color w:val="000000"/>
          <w:kern w:val="0"/>
          <w:lang w:eastAsia="it-IT"/>
          <w14:ligatures w14:val="none"/>
        </w:rPr>
        <w:t>76</w:t>
      </w:r>
      <w:bookmarkEnd w:id="47"/>
      <w:r w:rsidRPr="004F76E5">
        <w:rPr>
          <w:rFonts w:ascii="Times New Roman" w:eastAsia="Times New Roman" w:hAnsi="Times New Roman" w:cs="Times New Roman"/>
          <w:color w:val="000000"/>
          <w:kern w:val="0"/>
          <w:lang w:eastAsia="it-IT"/>
          <w14:ligatures w14:val="none"/>
        </w:rPr>
        <w:t>. La Corte osserva che, come ha già stabilito in </w:t>
      </w:r>
      <w:r w:rsidRPr="004F76E5">
        <w:rPr>
          <w:rFonts w:ascii="Times New Roman" w:eastAsia="Times New Roman" w:hAnsi="Times New Roman" w:cs="Times New Roman"/>
          <w:i/>
          <w:iCs/>
          <w:color w:val="000000"/>
          <w:kern w:val="0"/>
          <w:lang w:eastAsia="it-IT"/>
          <w14:ligatures w14:val="none"/>
        </w:rPr>
        <w:t>Landi </w:t>
      </w:r>
      <w:r w:rsidRPr="004F76E5">
        <w:rPr>
          <w:rFonts w:ascii="Times New Roman" w:eastAsia="Times New Roman" w:hAnsi="Times New Roman" w:cs="Times New Roman"/>
          <w:color w:val="000000"/>
          <w:kern w:val="0"/>
          <w:lang w:eastAsia="it-IT"/>
          <w14:ligatures w14:val="none"/>
        </w:rPr>
        <w:t>(citato sopra, § 80), </w:t>
      </w:r>
      <w:proofErr w:type="spellStart"/>
      <w:r w:rsidRPr="004F76E5">
        <w:rPr>
          <w:rFonts w:ascii="Times New Roman" w:eastAsia="Times New Roman" w:hAnsi="Times New Roman" w:cs="Times New Roman"/>
          <w:i/>
          <w:iCs/>
          <w:color w:val="000000"/>
          <w:kern w:val="0"/>
          <w:lang w:eastAsia="it-IT"/>
          <w14:ligatures w14:val="none"/>
        </w:rPr>
        <w:t>Scuderoni</w:t>
      </w:r>
      <w:proofErr w:type="spellEnd"/>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(citato sopra, § 95), </w:t>
      </w:r>
      <w:r w:rsidRPr="004F76E5">
        <w:rPr>
          <w:rFonts w:ascii="Times New Roman" w:eastAsia="Times New Roman" w:hAnsi="Times New Roman" w:cs="Times New Roman"/>
          <w:i/>
          <w:iCs/>
          <w:color w:val="000000"/>
          <w:kern w:val="0"/>
          <w:lang w:eastAsia="it-IT"/>
          <w14:ligatures w14:val="none"/>
        </w:rPr>
        <w:t>De Giorgi</w:t>
      </w:r>
      <w:r w:rsidRPr="004F76E5">
        <w:rPr>
          <w:rFonts w:ascii="Times New Roman" w:eastAsia="Times New Roman" w:hAnsi="Times New Roman" w:cs="Times New Roman"/>
          <w:color w:val="000000"/>
          <w:kern w:val="0"/>
          <w:lang w:eastAsia="it-IT"/>
          <w14:ligatures w14:val="none"/>
        </w:rPr>
        <w:t> (citato sopra, § 71) e </w:t>
      </w:r>
      <w:r w:rsidRPr="004F76E5">
        <w:rPr>
          <w:rFonts w:ascii="Times New Roman" w:eastAsia="Times New Roman" w:hAnsi="Times New Roman" w:cs="Times New Roman"/>
          <w:i/>
          <w:iCs/>
          <w:color w:val="000000"/>
          <w:kern w:val="0"/>
          <w:lang w:eastAsia="it-IT"/>
          <w14:ligatures w14:val="none"/>
        </w:rPr>
        <w:t>M.S. contro Italia</w:t>
      </w:r>
      <w:r w:rsidRPr="004F76E5">
        <w:rPr>
          <w:rFonts w:ascii="Times New Roman" w:eastAsia="Times New Roman" w:hAnsi="Times New Roman" w:cs="Times New Roman"/>
          <w:color w:val="000000"/>
          <w:kern w:val="0"/>
          <w:lang w:eastAsia="it-IT"/>
          <w14:ligatures w14:val="none"/>
        </w:rPr>
        <w:t> (citato sopra, § 118), le misure giuridiche e operative previste dal sistema legislativo italiano al momento degli eventi hanno concesso alle autorità una gamma sufficientemente ampia di possibilità, adeguata e proporzionata in considerazione della gravità del rischio nel caso presente.</w:t>
      </w:r>
    </w:p>
    <w:p w14:paraId="184BA261" w14:textId="77777777" w:rsidR="00D21F64" w:rsidRPr="004F76E5" w:rsidRDefault="00D21F64" w:rsidP="00D21F64">
      <w:pPr>
        <w:shd w:val="clear" w:color="auto" w:fill="FFFFFF"/>
        <w:spacing w:before="280" w:after="120" w:line="240" w:lineRule="auto"/>
        <w:ind w:left="1372" w:hanging="334"/>
        <w:jc w:val="both"/>
        <w:rPr>
          <w:rFonts w:ascii="Times New Roman" w:eastAsia="Times New Roman" w:hAnsi="Times New Roman" w:cs="Times New Roman"/>
          <w:b/>
          <w:bCs/>
          <w:color w:val="000000"/>
          <w:kern w:val="0"/>
          <w:sz w:val="14"/>
          <w:szCs w:val="14"/>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(α) Se le autorità abbiano reagito immediatamente alle accuse di violenza domestica</w:t>
      </w:r>
      <w:r w:rsidRPr="004F76E5">
        <w:rPr>
          <w:rFonts w:ascii="Times New Roman" w:eastAsia="Times New Roman" w:hAnsi="Times New Roman" w:cs="Times New Roman"/>
          <w:b/>
          <w:bCs/>
          <w:color w:val="000000"/>
          <w:kern w:val="0"/>
          <w:sz w:val="14"/>
          <w:szCs w:val="14"/>
          <w:lang w:eastAsia="it-IT"/>
          <w14:ligatures w14:val="none"/>
        </w:rPr>
        <w:t>  </w:t>
      </w:r>
    </w:p>
    <w:p w14:paraId="4DC98E98" w14:textId="77777777" w:rsidR="008C3AA0" w:rsidRPr="004F76E5" w:rsidRDefault="008C3AA0" w:rsidP="00D21F64">
      <w:pPr>
        <w:shd w:val="clear" w:color="auto" w:fill="FFFFFF"/>
        <w:spacing w:before="280" w:after="120" w:line="240" w:lineRule="auto"/>
        <w:ind w:left="1372" w:hanging="334"/>
        <w:jc w:val="both"/>
        <w:rPr>
          <w:rFonts w:ascii="Times New Roman" w:eastAsia="Times New Roman" w:hAnsi="Times New Roman" w:cs="Times New Roman"/>
          <w:b/>
          <w:bCs/>
          <w:color w:val="000000"/>
          <w:kern w:val="0"/>
          <w:sz w:val="20"/>
          <w:szCs w:val="20"/>
          <w:lang w:eastAsia="it-IT"/>
          <w14:ligatures w14:val="none"/>
        </w:rPr>
      </w:pPr>
    </w:p>
    <w:p w14:paraId="28A12AF2"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8" w:name="paragraph00076"/>
      <w:r w:rsidRPr="004F76E5">
        <w:rPr>
          <w:rFonts w:ascii="Times New Roman" w:eastAsia="Times New Roman" w:hAnsi="Times New Roman" w:cs="Times New Roman"/>
          <w:b/>
          <w:bCs/>
          <w:color w:val="000000"/>
          <w:kern w:val="0"/>
          <w:lang w:eastAsia="it-IT"/>
          <w14:ligatures w14:val="none"/>
        </w:rPr>
        <w:t>77</w:t>
      </w:r>
      <w:bookmarkEnd w:id="48"/>
      <w:r w:rsidRPr="004F76E5">
        <w:rPr>
          <w:rFonts w:ascii="Times New Roman" w:eastAsia="Times New Roman" w:hAnsi="Times New Roman" w:cs="Times New Roman"/>
          <w:color w:val="000000"/>
          <w:kern w:val="0"/>
          <w:lang w:eastAsia="it-IT"/>
          <w14:ligatures w14:val="none"/>
        </w:rPr>
        <w:t xml:space="preserve">. La Corte osserva che la prima ricorrente ha avviato procedimenti simultaneamente davanti alle autorità minorenni (vedi paragrafo 18 sopra) e penali (vedi paragrafi 5 e 6 sopra) per ottenere protezione, denunciando specifici atti di maltrattamento e violenza psicologica commessi dal G.P. contro il secondo e il terzo richiedente e contro </w:t>
      </w:r>
      <w:proofErr w:type="gramStart"/>
      <w:r w:rsidRPr="004F76E5">
        <w:rPr>
          <w:rFonts w:ascii="Times New Roman" w:eastAsia="Times New Roman" w:hAnsi="Times New Roman" w:cs="Times New Roman"/>
          <w:color w:val="000000"/>
          <w:kern w:val="0"/>
          <w:lang w:eastAsia="it-IT"/>
          <w14:ligatures w14:val="none"/>
        </w:rPr>
        <w:t>se</w:t>
      </w:r>
      <w:proofErr w:type="gramEnd"/>
      <w:r w:rsidRPr="004F76E5">
        <w:rPr>
          <w:rFonts w:ascii="Times New Roman" w:eastAsia="Times New Roman" w:hAnsi="Times New Roman" w:cs="Times New Roman"/>
          <w:color w:val="000000"/>
          <w:kern w:val="0"/>
          <w:lang w:eastAsia="it-IT"/>
          <w14:ligatures w14:val="none"/>
        </w:rPr>
        <w:t xml:space="preserve"> stessa, e che era stata anche la vittima, in diverse occasioni, di violenza sessuale.</w:t>
      </w:r>
    </w:p>
    <w:p w14:paraId="49F9593C"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49" w:name="paragraph00077"/>
      <w:r w:rsidRPr="004F76E5">
        <w:rPr>
          <w:rFonts w:ascii="Times New Roman" w:eastAsia="Times New Roman" w:hAnsi="Times New Roman" w:cs="Times New Roman"/>
          <w:b/>
          <w:bCs/>
          <w:color w:val="000000"/>
          <w:kern w:val="0"/>
          <w:lang w:eastAsia="it-IT"/>
          <w14:ligatures w14:val="none"/>
        </w:rPr>
        <w:t>78</w:t>
      </w:r>
      <w:bookmarkEnd w:id="49"/>
      <w:r w:rsidRPr="004F76E5">
        <w:rPr>
          <w:rFonts w:ascii="Times New Roman" w:eastAsia="Times New Roman" w:hAnsi="Times New Roman" w:cs="Times New Roman"/>
          <w:color w:val="000000"/>
          <w:kern w:val="0"/>
          <w:lang w:eastAsia="it-IT"/>
          <w14:ligatures w14:val="none"/>
        </w:rPr>
        <w:t xml:space="preserve">. La Corte osserva inoltre che, sulla base delle argomentazioni delle parti, a seguito del reclamo presentato dal primo ricorrente il 16 aprile 2021, la polizia ha inoltrato il fascicolo al Pubblico </w:t>
      </w:r>
      <w:r w:rsidRPr="004F76E5">
        <w:rPr>
          <w:rFonts w:ascii="Times New Roman" w:eastAsia="Times New Roman" w:hAnsi="Times New Roman" w:cs="Times New Roman"/>
          <w:color w:val="000000"/>
          <w:kern w:val="0"/>
          <w:lang w:eastAsia="it-IT"/>
          <w14:ligatures w14:val="none"/>
        </w:rPr>
        <w:lastRenderedPageBreak/>
        <w:t>Ministero presso il Tribunale Distrettuale di Benevento il 22 aprile 2021 (vedi paragrafo 7 sopra). Successivamente, il 24 maggio 2021, su richiesta del primo richiedente, lei e i suoi figli sono stati collocati in un rifugio specializzato e protetto (vedi paragrafo 9 sopra).</w:t>
      </w:r>
    </w:p>
    <w:p w14:paraId="7DE12C08"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50" w:name="paragraph00078"/>
      <w:r w:rsidRPr="004F76E5">
        <w:rPr>
          <w:rFonts w:ascii="Times New Roman" w:eastAsia="Times New Roman" w:hAnsi="Times New Roman" w:cs="Times New Roman"/>
          <w:b/>
          <w:bCs/>
          <w:color w:val="000000"/>
          <w:kern w:val="0"/>
          <w:lang w:eastAsia="it-IT"/>
          <w14:ligatures w14:val="none"/>
        </w:rPr>
        <w:t>79</w:t>
      </w:r>
      <w:bookmarkEnd w:id="50"/>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Ne consegue che le autorità hanno reagito con la prontezza necessaria nella loro risposta immediata alle accuse di violenza domestica del primo richiedente.</w:t>
      </w:r>
    </w:p>
    <w:p w14:paraId="42633BEC" w14:textId="77777777" w:rsidR="00D21F64" w:rsidRPr="004F76E5" w:rsidRDefault="00D21F64" w:rsidP="00D21F64">
      <w:pPr>
        <w:shd w:val="clear" w:color="auto" w:fill="FFFFFF"/>
        <w:spacing w:before="280" w:after="120" w:line="240" w:lineRule="auto"/>
        <w:ind w:left="1372" w:hanging="334"/>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color w:val="000000"/>
          <w:kern w:val="0"/>
          <w:sz w:val="20"/>
          <w:szCs w:val="20"/>
          <w:lang w:eastAsia="it-IT"/>
          <w14:ligatures w14:val="none"/>
        </w:rPr>
        <w:t>(</w:t>
      </w:r>
      <w:r w:rsidRPr="004F76E5">
        <w:rPr>
          <w:rFonts w:ascii="Times New Roman" w:eastAsia="Times New Roman" w:hAnsi="Times New Roman" w:cs="Times New Roman"/>
          <w:b/>
          <w:bCs/>
          <w:color w:val="000000"/>
          <w:kern w:val="0"/>
          <w:sz w:val="20"/>
          <w:szCs w:val="20"/>
          <w:lang w:eastAsia="it-IT"/>
          <w14:ligatures w14:val="none"/>
        </w:rPr>
        <w:t>β) La qualità della valutazione del rischio</w:t>
      </w:r>
      <w:r w:rsidRPr="004F76E5">
        <w:rPr>
          <w:rFonts w:ascii="Times New Roman" w:eastAsia="Times New Roman" w:hAnsi="Times New Roman" w:cs="Times New Roman"/>
          <w:color w:val="000000"/>
          <w:kern w:val="0"/>
          <w:sz w:val="14"/>
          <w:szCs w:val="14"/>
          <w:lang w:eastAsia="it-IT"/>
          <w14:ligatures w14:val="none"/>
        </w:rPr>
        <w:t>  </w:t>
      </w:r>
    </w:p>
    <w:p w14:paraId="73FEA0E0"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80</w:t>
      </w:r>
      <w:r w:rsidRPr="004F76E5">
        <w:rPr>
          <w:rFonts w:ascii="Times New Roman" w:eastAsia="Times New Roman" w:hAnsi="Times New Roman" w:cs="Times New Roman"/>
          <w:color w:val="000000"/>
          <w:kern w:val="0"/>
          <w:lang w:eastAsia="it-IT"/>
          <w14:ligatures w14:val="none"/>
        </w:rPr>
        <w:t>. La Corte ribadisce che, per determinare se le autorità dovessero essere consapevoli del rischio di ripetuti atti di violenza, ha, in diversi casi, identificato e tenuto conto dei seguenti fattori: la storia di comportamento violento dell'autore e il mancato rispetto dei termini di un ordine di protezione (vedi </w:t>
      </w:r>
      <w:bookmarkStart w:id="51" w:name="_cl25282THELAW"/>
      <w:proofErr w:type="spellStart"/>
      <w:r w:rsidRPr="004F76E5">
        <w:rPr>
          <w:rFonts w:ascii="Times New Roman" w:eastAsia="Times New Roman" w:hAnsi="Times New Roman" w:cs="Times New Roman"/>
          <w:i/>
          <w:iCs/>
          <w:color w:val="000000"/>
          <w:kern w:val="0"/>
          <w:lang w:eastAsia="it-IT"/>
          <w14:ligatures w14:val="none"/>
        </w:rPr>
        <w:t>Eremia</w:t>
      </w:r>
      <w:proofErr w:type="spellEnd"/>
      <w:r w:rsidRPr="004F76E5">
        <w:rPr>
          <w:rFonts w:ascii="Times New Roman" w:eastAsia="Times New Roman" w:hAnsi="Times New Roman" w:cs="Times New Roman"/>
          <w:i/>
          <w:iCs/>
          <w:color w:val="000000"/>
          <w:kern w:val="0"/>
          <w:lang w:eastAsia="it-IT"/>
          <w14:ligatures w14:val="none"/>
        </w:rPr>
        <w:t xml:space="preserve"> contro la Repubblica di Moldova</w:t>
      </w:r>
      <w:bookmarkEnd w:id="51"/>
      <w:r w:rsidRPr="004F76E5">
        <w:rPr>
          <w:rFonts w:ascii="Times New Roman" w:eastAsia="Times New Roman" w:hAnsi="Times New Roman" w:cs="Times New Roman"/>
          <w:color w:val="000000"/>
          <w:kern w:val="0"/>
          <w:lang w:eastAsia="it-IT"/>
          <w14:ligatures w14:val="none"/>
        </w:rPr>
        <w:t>, No. </w:t>
      </w:r>
      <w:hyperlink r:id="rId38" w:anchor="{%22appno%22:[%223564/11%22]}" w:tgtFrame="_blank" w:history="1">
        <w:r w:rsidRPr="004F76E5">
          <w:rPr>
            <w:rFonts w:ascii="Times New Roman" w:eastAsia="Times New Roman" w:hAnsi="Times New Roman" w:cs="Times New Roman"/>
            <w:color w:val="0069D6"/>
            <w:kern w:val="0"/>
            <w:u w:val="single"/>
            <w:lang w:eastAsia="it-IT"/>
            <w14:ligatures w14:val="none"/>
          </w:rPr>
          <w:t>3564/11</w:t>
        </w:r>
      </w:hyperlink>
      <w:r w:rsidRPr="004F76E5">
        <w:rPr>
          <w:rFonts w:ascii="Times New Roman" w:eastAsia="Times New Roman" w:hAnsi="Times New Roman" w:cs="Times New Roman"/>
          <w:color w:val="000000"/>
          <w:kern w:val="0"/>
          <w:lang w:eastAsia="it-IT"/>
          <w14:ligatures w14:val="none"/>
        </w:rPr>
        <w:t>, § 59, 28 maggio 2013); l'escalation della violenza che rappresenta una minaccia continua per la salute e la sicurezza della vittima (vedi </w:t>
      </w:r>
      <w:proofErr w:type="spellStart"/>
      <w:r w:rsidRPr="004F76E5">
        <w:rPr>
          <w:rFonts w:ascii="Times New Roman" w:eastAsia="Times New Roman" w:hAnsi="Times New Roman" w:cs="Times New Roman"/>
          <w:i/>
          <w:iCs/>
          <w:color w:val="000000"/>
          <w:kern w:val="0"/>
          <w:lang w:eastAsia="it-IT"/>
          <w14:ligatures w14:val="none"/>
        </w:rPr>
        <w:t>Opuz</w:t>
      </w:r>
      <w:proofErr w:type="spellEnd"/>
      <w:r w:rsidRPr="004F76E5">
        <w:rPr>
          <w:rFonts w:ascii="Times New Roman" w:eastAsia="Times New Roman" w:hAnsi="Times New Roman" w:cs="Times New Roman"/>
          <w:color w:val="000000"/>
          <w:kern w:val="0"/>
          <w:lang w:eastAsia="it-IT"/>
          <w14:ligatures w14:val="none"/>
        </w:rPr>
        <w:t>, citato sopra, §§ 135-36); e le ripetute richieste di aiuto della vittima tramite chiamate d'emergenza, così come le denunce formali e le richieste rivolte al capo della polizia (vedi </w:t>
      </w:r>
      <w:proofErr w:type="spellStart"/>
      <w:r w:rsidRPr="004F76E5">
        <w:rPr>
          <w:rFonts w:ascii="Times New Roman" w:eastAsia="Times New Roman" w:hAnsi="Times New Roman" w:cs="Times New Roman"/>
          <w:i/>
          <w:iCs/>
          <w:color w:val="000000"/>
          <w:kern w:val="0"/>
          <w:lang w:eastAsia="it-IT"/>
          <w14:ligatures w14:val="none"/>
        </w:rPr>
        <w:t>Bălşan</w:t>
      </w:r>
      <w:proofErr w:type="spellEnd"/>
      <w:r w:rsidRPr="004F76E5">
        <w:rPr>
          <w:rFonts w:ascii="Times New Roman" w:eastAsia="Times New Roman" w:hAnsi="Times New Roman" w:cs="Times New Roman"/>
          <w:i/>
          <w:iCs/>
          <w:color w:val="000000"/>
          <w:kern w:val="0"/>
          <w:lang w:eastAsia="it-IT"/>
          <w14:ligatures w14:val="none"/>
        </w:rPr>
        <w:t xml:space="preserve"> contro Romania</w:t>
      </w:r>
      <w:r w:rsidRPr="004F76E5">
        <w:rPr>
          <w:rFonts w:ascii="Times New Roman" w:eastAsia="Times New Roman" w:hAnsi="Times New Roman" w:cs="Times New Roman"/>
          <w:color w:val="000000"/>
          <w:kern w:val="0"/>
          <w:lang w:eastAsia="it-IT"/>
          <w14:ligatures w14:val="none"/>
        </w:rPr>
        <w:t>, no. </w:t>
      </w:r>
      <w:hyperlink r:id="rId39" w:anchor="{%22appno%22:[%2249645/09%22]}" w:tgtFrame="_blank" w:history="1">
        <w:r w:rsidRPr="004F76E5">
          <w:rPr>
            <w:rFonts w:ascii="Times New Roman" w:eastAsia="Times New Roman" w:hAnsi="Times New Roman" w:cs="Times New Roman"/>
            <w:color w:val="0069D6"/>
            <w:kern w:val="0"/>
            <w:u w:val="single"/>
            <w:lang w:eastAsia="it-IT"/>
            <w14:ligatures w14:val="none"/>
          </w:rPr>
          <w:t>49645/09</w:t>
        </w:r>
      </w:hyperlink>
      <w:r w:rsidRPr="004F76E5">
        <w:rPr>
          <w:rFonts w:ascii="Times New Roman" w:eastAsia="Times New Roman" w:hAnsi="Times New Roman" w:cs="Times New Roman"/>
          <w:color w:val="000000"/>
          <w:kern w:val="0"/>
          <w:lang w:eastAsia="it-IT"/>
          <w14:ligatures w14:val="none"/>
        </w:rPr>
        <w:t>, §§ 135-36, 23 maggio 2017).</w:t>
      </w:r>
    </w:p>
    <w:p w14:paraId="0A6EB0E8" w14:textId="571F6412"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81</w:t>
      </w:r>
      <w:r w:rsidRPr="004F76E5">
        <w:rPr>
          <w:rFonts w:ascii="Times New Roman" w:eastAsia="Times New Roman" w:hAnsi="Times New Roman" w:cs="Times New Roman"/>
          <w:color w:val="000000"/>
          <w:kern w:val="0"/>
          <w:lang w:eastAsia="it-IT"/>
          <w14:ligatures w14:val="none"/>
        </w:rPr>
        <w:t>. A tal proposito, la Corte ha già riconosciuto che, su richiesta del primo richiedente, le autorità nazionali hanno garantito l'immediato rifugio dei richiedenti (vedi paragrafo 9 sopra) al fine di proteggerli dal rischio di ulteriori violenze. Secondo le argomentazioni concordanti delle parti, tale misura garantiva la sicurezza dei richiedenti nel breve termine contro il rischio di una ripetizione della violenza.</w:t>
      </w:r>
    </w:p>
    <w:p w14:paraId="53856DC0" w14:textId="7EFAB6D8"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52" w:name="paragraph00081"/>
      <w:r w:rsidRPr="004F76E5">
        <w:rPr>
          <w:rFonts w:ascii="Times New Roman" w:eastAsia="Times New Roman" w:hAnsi="Times New Roman" w:cs="Times New Roman"/>
          <w:b/>
          <w:bCs/>
          <w:color w:val="000000"/>
          <w:kern w:val="0"/>
          <w:lang w:eastAsia="it-IT"/>
          <w14:ligatures w14:val="none"/>
        </w:rPr>
        <w:t>82</w:t>
      </w:r>
      <w:bookmarkEnd w:id="52"/>
      <w:r w:rsidRPr="004F76E5">
        <w:rPr>
          <w:rFonts w:ascii="Times New Roman" w:eastAsia="Times New Roman" w:hAnsi="Times New Roman" w:cs="Times New Roman"/>
          <w:color w:val="000000"/>
          <w:kern w:val="0"/>
          <w:lang w:eastAsia="it-IT"/>
          <w14:ligatures w14:val="none"/>
        </w:rPr>
        <w:t>. La Corte ritiene quindi che le autorità hanno adempiuto agli obblighi positivi che le compe</w:t>
      </w:r>
      <w:r w:rsidR="008C3AA0" w:rsidRPr="004F76E5">
        <w:rPr>
          <w:rFonts w:ascii="Times New Roman" w:eastAsia="Times New Roman" w:hAnsi="Times New Roman" w:cs="Times New Roman"/>
          <w:color w:val="000000"/>
          <w:kern w:val="0"/>
          <w:lang w:eastAsia="it-IT"/>
          <w14:ligatures w14:val="none"/>
        </w:rPr>
        <w:t>te</w:t>
      </w:r>
      <w:r w:rsidRPr="004F76E5">
        <w:rPr>
          <w:rFonts w:ascii="Times New Roman" w:eastAsia="Times New Roman" w:hAnsi="Times New Roman" w:cs="Times New Roman"/>
          <w:color w:val="000000"/>
          <w:kern w:val="0"/>
          <w:lang w:eastAsia="it-IT"/>
          <w14:ligatures w14:val="none"/>
        </w:rPr>
        <w:t>vano riguardo alla valutazione iniziale del rischio di violenza ripetuta.</w:t>
      </w:r>
    </w:p>
    <w:p w14:paraId="4D45335D" w14:textId="77777777" w:rsidR="008C3AA0" w:rsidRPr="004F76E5" w:rsidRDefault="008C3AA0" w:rsidP="00D21F64">
      <w:pPr>
        <w:shd w:val="clear" w:color="auto" w:fill="FFFFFF"/>
        <w:spacing w:before="280" w:after="120" w:line="240" w:lineRule="auto"/>
        <w:ind w:left="1372" w:hanging="334"/>
        <w:jc w:val="both"/>
        <w:rPr>
          <w:rFonts w:ascii="Times New Roman" w:eastAsia="Times New Roman" w:hAnsi="Times New Roman" w:cs="Times New Roman"/>
          <w:color w:val="000000"/>
          <w:kern w:val="0"/>
          <w:sz w:val="20"/>
          <w:szCs w:val="20"/>
          <w:lang w:eastAsia="it-IT"/>
          <w14:ligatures w14:val="none"/>
        </w:rPr>
      </w:pPr>
    </w:p>
    <w:p w14:paraId="40D044CD" w14:textId="7345867C" w:rsidR="00D21F64" w:rsidRPr="004F76E5" w:rsidRDefault="00D21F64" w:rsidP="00D21F64">
      <w:pPr>
        <w:shd w:val="clear" w:color="auto" w:fill="FFFFFF"/>
        <w:spacing w:before="280" w:after="120" w:line="240" w:lineRule="auto"/>
        <w:ind w:left="1372" w:hanging="334"/>
        <w:jc w:val="both"/>
        <w:rPr>
          <w:rFonts w:ascii="Times New Roman" w:eastAsia="Times New Roman" w:hAnsi="Times New Roman" w:cs="Times New Roman"/>
          <w:b/>
          <w:bCs/>
          <w:color w:val="000000"/>
          <w:kern w:val="0"/>
          <w:sz w:val="20"/>
          <w:szCs w:val="20"/>
          <w:lang w:eastAsia="it-IT"/>
          <w14:ligatures w14:val="none"/>
        </w:rPr>
      </w:pPr>
      <w:r w:rsidRPr="004F76E5">
        <w:rPr>
          <w:rFonts w:ascii="Times New Roman" w:eastAsia="Times New Roman" w:hAnsi="Times New Roman" w:cs="Times New Roman"/>
          <w:color w:val="000000"/>
          <w:kern w:val="0"/>
          <w:sz w:val="20"/>
          <w:szCs w:val="20"/>
          <w:lang w:eastAsia="it-IT"/>
          <w14:ligatures w14:val="none"/>
        </w:rPr>
        <w:t>(</w:t>
      </w:r>
      <w:r w:rsidRPr="004F76E5">
        <w:rPr>
          <w:rFonts w:ascii="Times New Roman" w:eastAsia="Times New Roman" w:hAnsi="Times New Roman" w:cs="Times New Roman"/>
          <w:b/>
          <w:bCs/>
          <w:color w:val="000000"/>
          <w:kern w:val="0"/>
          <w:sz w:val="20"/>
          <w:szCs w:val="20"/>
          <w:lang w:eastAsia="it-IT"/>
          <w14:ligatures w14:val="none"/>
        </w:rPr>
        <w:t>γ) Le autorità sapevano o avrebbero dovuto sapere che esisteva un rischio reale e immediato di violenza ricorrente contro i richiedenti?</w:t>
      </w:r>
      <w:r w:rsidRPr="004F76E5">
        <w:rPr>
          <w:rFonts w:ascii="Times New Roman" w:eastAsia="Times New Roman" w:hAnsi="Times New Roman" w:cs="Times New Roman"/>
          <w:b/>
          <w:bCs/>
          <w:color w:val="000000"/>
          <w:kern w:val="0"/>
          <w:sz w:val="14"/>
          <w:szCs w:val="14"/>
          <w:lang w:eastAsia="it-IT"/>
          <w14:ligatures w14:val="none"/>
        </w:rPr>
        <w:t>  </w:t>
      </w:r>
    </w:p>
    <w:p w14:paraId="10EC5573"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83</w:t>
      </w:r>
      <w:r w:rsidRPr="004F76E5">
        <w:rPr>
          <w:rFonts w:ascii="Times New Roman" w:eastAsia="Times New Roman" w:hAnsi="Times New Roman" w:cs="Times New Roman"/>
          <w:color w:val="000000"/>
          <w:kern w:val="0"/>
          <w:lang w:eastAsia="it-IT"/>
          <w14:ligatures w14:val="none"/>
        </w:rPr>
        <w:t>. La Corte ribadisce che, nel contesto della violenza domestica, non ogni presunto rischio di violenza ripetuta è sufficiente, di per sé, a imporre alle autorità il dovere di adottare misure operative per prevenire la concretizzazione di tale rischio. Tale obbligo positivo sorge solo quando si dimostra che le autorità sapevano, o avrebbero dovuto sapere, al momento rilevante, dell'esistenza di un rischio reale e immediato per la vita di un individuo identificato derivante dagli atti criminali di un terzo, e tuttavia non hanno adottato misure nell'ambito dei loro poteri che avrebbero ragionevolmente potuto essere presunte per evitare tale rischio (il cosiddetto "</w:t>
      </w:r>
      <w:r w:rsidRPr="004F76E5">
        <w:rPr>
          <w:rFonts w:ascii="Times New Roman" w:eastAsia="Times New Roman" w:hAnsi="Times New Roman" w:cs="Times New Roman"/>
          <w:i/>
          <w:iCs/>
          <w:color w:val="000000"/>
          <w:kern w:val="0"/>
          <w:lang w:eastAsia="it-IT"/>
          <w14:ligatures w14:val="none"/>
        </w:rPr>
        <w:t>test Osman</w:t>
      </w:r>
      <w:r w:rsidRPr="004F76E5">
        <w:rPr>
          <w:rFonts w:ascii="Times New Roman" w:eastAsia="Times New Roman" w:hAnsi="Times New Roman" w:cs="Times New Roman"/>
          <w:color w:val="000000"/>
          <w:kern w:val="0"/>
          <w:lang w:eastAsia="it-IT"/>
          <w14:ligatures w14:val="none"/>
        </w:rPr>
        <w:t>" – vedi </w:t>
      </w:r>
      <w:bookmarkStart w:id="53" w:name="_cl33352"/>
      <w:r w:rsidRPr="004F76E5">
        <w:rPr>
          <w:rFonts w:ascii="Times New Roman" w:eastAsia="Times New Roman" w:hAnsi="Times New Roman" w:cs="Times New Roman"/>
          <w:i/>
          <w:iCs/>
          <w:color w:val="000000"/>
          <w:kern w:val="0"/>
          <w:lang w:eastAsia="it-IT"/>
          <w14:ligatures w14:val="none"/>
        </w:rPr>
        <w:t>Osman contro Regno Unito</w:t>
      </w:r>
      <w:bookmarkEnd w:id="53"/>
      <w:r w:rsidRPr="004F76E5">
        <w:rPr>
          <w:rFonts w:ascii="Times New Roman" w:eastAsia="Times New Roman" w:hAnsi="Times New Roman" w:cs="Times New Roman"/>
          <w:color w:val="000000"/>
          <w:kern w:val="0"/>
          <w:lang w:eastAsia="it-IT"/>
          <w14:ligatures w14:val="none"/>
        </w:rPr>
        <w:t>, 28 ottobre 1998, § 116, </w:t>
      </w:r>
      <w:r w:rsidRPr="004F76E5">
        <w:rPr>
          <w:rFonts w:ascii="Times New Roman" w:eastAsia="Times New Roman" w:hAnsi="Times New Roman" w:cs="Times New Roman"/>
          <w:i/>
          <w:iCs/>
          <w:color w:val="000000"/>
          <w:kern w:val="0"/>
          <w:lang w:eastAsia="it-IT"/>
          <w14:ligatures w14:val="none"/>
        </w:rPr>
        <w:t>Rapporti di sentenze e decisioni</w:t>
      </w:r>
      <w:r w:rsidRPr="004F76E5">
        <w:rPr>
          <w:rFonts w:ascii="Times New Roman" w:eastAsia="Times New Roman" w:hAnsi="Times New Roman" w:cs="Times New Roman"/>
          <w:color w:val="000000"/>
          <w:kern w:val="0"/>
          <w:lang w:eastAsia="it-IT"/>
          <w14:ligatures w14:val="none"/>
        </w:rPr>
        <w:t> 1998-VIII e, nel contesto specifico della violenza domestica,</w:t>
      </w:r>
      <w:bookmarkStart w:id="54" w:name="_cl40754"/>
      <w:r w:rsidRPr="004F76E5">
        <w:rPr>
          <w:rFonts w:ascii="Times New Roman" w:eastAsia="Times New Roman" w:hAnsi="Times New Roman" w:cs="Times New Roman"/>
          <w:i/>
          <w:iCs/>
          <w:color w:val="000000"/>
          <w:kern w:val="0"/>
          <w:lang w:eastAsia="it-IT"/>
          <w14:ligatures w14:val="none"/>
        </w:rPr>
        <w:t> Kurt</w:t>
      </w:r>
      <w:r w:rsidRPr="004F76E5">
        <w:rPr>
          <w:rFonts w:ascii="Times New Roman" w:eastAsia="Times New Roman" w:hAnsi="Times New Roman" w:cs="Times New Roman"/>
          <w:color w:val="000000"/>
          <w:kern w:val="0"/>
          <w:lang w:eastAsia="it-IT"/>
          <w14:ligatures w14:val="none"/>
        </w:rPr>
        <w:t>, citato sopra, </w:t>
      </w:r>
      <w:bookmarkEnd w:id="54"/>
      <w:r w:rsidRPr="004F76E5">
        <w:rPr>
          <w:rFonts w:ascii="Times New Roman" w:eastAsia="Times New Roman" w:hAnsi="Times New Roman" w:cs="Times New Roman"/>
          <w:color w:val="000000"/>
          <w:kern w:val="0"/>
          <w:lang w:eastAsia="it-IT"/>
          <w14:ligatures w14:val="none"/>
        </w:rPr>
        <w:t>§ 158). Nel caso in esame è chiaro dai documenti che le autorità nazionali erano state informate della condotta violenta del G.P., su base continua, nei confronti dei richiedenti (vedi paragrafi 5, 6, 18 e 20 sopra). Pertanto, la Corte ritiene che le autorità nazionali sapessero che vi era un rischio reale e immediato di violenza ricorrente contro i richiedenti a causa della violenza commessa dal G.P. Di conseguenza, le autorità erano obbligate ad adottare misure adeguate e sufficienti per proteggere i richiedenti.</w:t>
      </w:r>
    </w:p>
    <w:p w14:paraId="3E4FC92D" w14:textId="77777777" w:rsidR="008C3AA0" w:rsidRPr="004F76E5" w:rsidRDefault="008C3AA0" w:rsidP="00D21F64">
      <w:pPr>
        <w:shd w:val="clear" w:color="auto" w:fill="FFFFFF"/>
        <w:spacing w:before="280" w:after="120" w:line="240" w:lineRule="auto"/>
        <w:ind w:left="1372" w:hanging="334"/>
        <w:jc w:val="both"/>
        <w:rPr>
          <w:rFonts w:ascii="Times New Roman" w:eastAsia="Times New Roman" w:hAnsi="Times New Roman" w:cs="Times New Roman"/>
          <w:color w:val="000000"/>
          <w:kern w:val="0"/>
          <w:sz w:val="20"/>
          <w:szCs w:val="20"/>
          <w:lang w:eastAsia="it-IT"/>
          <w14:ligatures w14:val="none"/>
        </w:rPr>
      </w:pPr>
    </w:p>
    <w:p w14:paraId="5596E29C" w14:textId="72D05B69" w:rsidR="00D21F64" w:rsidRPr="004F76E5" w:rsidRDefault="00D21F64" w:rsidP="00D21F64">
      <w:pPr>
        <w:shd w:val="clear" w:color="auto" w:fill="FFFFFF"/>
        <w:spacing w:before="280" w:after="120" w:line="240" w:lineRule="auto"/>
        <w:ind w:left="1372" w:hanging="334"/>
        <w:jc w:val="both"/>
        <w:rPr>
          <w:rFonts w:ascii="Times New Roman" w:eastAsia="Times New Roman" w:hAnsi="Times New Roman" w:cs="Times New Roman"/>
          <w:b/>
          <w:bCs/>
          <w:color w:val="000000"/>
          <w:kern w:val="0"/>
          <w:sz w:val="20"/>
          <w:szCs w:val="20"/>
          <w:lang w:eastAsia="it-IT"/>
          <w14:ligatures w14:val="none"/>
        </w:rPr>
      </w:pPr>
      <w:r w:rsidRPr="004F76E5">
        <w:rPr>
          <w:rFonts w:ascii="Times New Roman" w:eastAsia="Times New Roman" w:hAnsi="Times New Roman" w:cs="Times New Roman"/>
          <w:color w:val="000000"/>
          <w:kern w:val="0"/>
          <w:sz w:val="20"/>
          <w:szCs w:val="20"/>
          <w:lang w:eastAsia="it-IT"/>
          <w14:ligatures w14:val="none"/>
        </w:rPr>
        <w:t>(δ) </w:t>
      </w:r>
      <w:r w:rsidRPr="004F76E5">
        <w:rPr>
          <w:rFonts w:ascii="Times New Roman" w:eastAsia="Times New Roman" w:hAnsi="Times New Roman" w:cs="Times New Roman"/>
          <w:b/>
          <w:bCs/>
          <w:color w:val="000000"/>
          <w:kern w:val="0"/>
          <w:sz w:val="20"/>
          <w:szCs w:val="20"/>
          <w:lang w:eastAsia="it-IT"/>
          <w14:ligatures w14:val="none"/>
        </w:rPr>
        <w:t>Le autorità hanno adottato adeguate misure preventive nelle circostanze del caso?</w:t>
      </w:r>
      <w:r w:rsidRPr="004F76E5">
        <w:rPr>
          <w:rFonts w:ascii="Times New Roman" w:eastAsia="Times New Roman" w:hAnsi="Times New Roman" w:cs="Times New Roman"/>
          <w:b/>
          <w:bCs/>
          <w:color w:val="000000"/>
          <w:kern w:val="0"/>
          <w:sz w:val="14"/>
          <w:szCs w:val="14"/>
          <w:lang w:eastAsia="it-IT"/>
          <w14:ligatures w14:val="none"/>
        </w:rPr>
        <w:t>  </w:t>
      </w:r>
    </w:p>
    <w:p w14:paraId="18805F9A"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84</w:t>
      </w:r>
      <w:r w:rsidRPr="004F76E5">
        <w:rPr>
          <w:rFonts w:ascii="Times New Roman" w:eastAsia="Times New Roman" w:hAnsi="Times New Roman" w:cs="Times New Roman"/>
          <w:color w:val="000000"/>
          <w:kern w:val="0"/>
          <w:lang w:eastAsia="it-IT"/>
          <w14:ligatures w14:val="none"/>
        </w:rPr>
        <w:t>. La Corte ribadisce che anche quando le autorità interne non rimangono totalmente passive, non adempiono comunque ai loro obblighi previsti dalla Convenzione se le misure adottate non impediscono all'abusatore di commettere ulteriori violenze contro la vittima (vedi </w:t>
      </w:r>
      <w:r w:rsidRPr="004F76E5">
        <w:rPr>
          <w:rFonts w:ascii="Times New Roman" w:eastAsia="Times New Roman" w:hAnsi="Times New Roman" w:cs="Times New Roman"/>
          <w:i/>
          <w:iCs/>
          <w:color w:val="000000"/>
          <w:kern w:val="0"/>
          <w:lang w:eastAsia="it-IT"/>
          <w14:ligatures w14:val="none"/>
        </w:rPr>
        <w:t>Kurt</w:t>
      </w:r>
      <w:r w:rsidRPr="004F76E5">
        <w:rPr>
          <w:rFonts w:ascii="Times New Roman" w:eastAsia="Times New Roman" w:hAnsi="Times New Roman" w:cs="Times New Roman"/>
          <w:color w:val="000000"/>
          <w:kern w:val="0"/>
          <w:lang w:eastAsia="it-IT"/>
          <w14:ligatures w14:val="none"/>
        </w:rPr>
        <w:t xml:space="preserve">, citato sopra, § 178). Inoltre, considerando anche la valutazione preventiva dell'adeguatezza delle misure previste dal quadro giuridico interno (vedi paragrafo 76 sopra), la Corte sottolinea che le autorità devono </w:t>
      </w:r>
      <w:r w:rsidRPr="004F76E5">
        <w:rPr>
          <w:rFonts w:ascii="Times New Roman" w:eastAsia="Times New Roman" w:hAnsi="Times New Roman" w:cs="Times New Roman"/>
          <w:color w:val="000000"/>
          <w:kern w:val="0"/>
          <w:lang w:eastAsia="it-IT"/>
          <w14:ligatures w14:val="none"/>
        </w:rPr>
        <w:lastRenderedPageBreak/>
        <w:t>selezionare la misura adeguata e proporzionata al livello di rischio valutato (vedi </w:t>
      </w:r>
      <w:r w:rsidRPr="004F76E5">
        <w:rPr>
          <w:rFonts w:ascii="Times New Roman" w:eastAsia="Times New Roman" w:hAnsi="Times New Roman" w:cs="Times New Roman"/>
          <w:i/>
          <w:iCs/>
          <w:color w:val="000000"/>
          <w:kern w:val="0"/>
          <w:lang w:eastAsia="it-IT"/>
          <w14:ligatures w14:val="none"/>
        </w:rPr>
        <w:t>Kurt</w:t>
      </w:r>
      <w:r w:rsidRPr="004F76E5">
        <w:rPr>
          <w:rFonts w:ascii="Times New Roman" w:eastAsia="Times New Roman" w:hAnsi="Times New Roman" w:cs="Times New Roman"/>
          <w:color w:val="000000"/>
          <w:kern w:val="0"/>
          <w:lang w:eastAsia="it-IT"/>
          <w14:ligatures w14:val="none"/>
        </w:rPr>
        <w:t>, citato sopra, § 179), nonché appropriata nelle circostanze (vedi </w:t>
      </w:r>
      <w:proofErr w:type="spellStart"/>
      <w:r w:rsidRPr="004F76E5">
        <w:rPr>
          <w:rFonts w:ascii="Times New Roman" w:eastAsia="Times New Roman" w:hAnsi="Times New Roman" w:cs="Times New Roman"/>
          <w:i/>
          <w:iCs/>
          <w:color w:val="000000"/>
          <w:kern w:val="0"/>
          <w:lang w:eastAsia="it-IT"/>
          <w14:ligatures w14:val="none"/>
        </w:rPr>
        <w:t>Talpis</w:t>
      </w:r>
      <w:proofErr w:type="spellEnd"/>
      <w:r w:rsidRPr="004F76E5">
        <w:rPr>
          <w:rFonts w:ascii="Times New Roman" w:eastAsia="Times New Roman" w:hAnsi="Times New Roman" w:cs="Times New Roman"/>
          <w:color w:val="000000"/>
          <w:kern w:val="0"/>
          <w:lang w:eastAsia="it-IT"/>
          <w14:ligatures w14:val="none"/>
        </w:rPr>
        <w:t>, citato sopra, § 103).</w:t>
      </w:r>
    </w:p>
    <w:p w14:paraId="0FE06420"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85.</w:t>
      </w:r>
      <w:r w:rsidRPr="004F76E5">
        <w:rPr>
          <w:rFonts w:ascii="Times New Roman" w:eastAsia="Times New Roman" w:hAnsi="Times New Roman" w:cs="Times New Roman"/>
          <w:color w:val="000000"/>
          <w:kern w:val="0"/>
          <w:lang w:eastAsia="it-IT"/>
          <w14:ligatures w14:val="none"/>
        </w:rPr>
        <w:t> La Corte ha già riconosciuto che le autorità del presente caso hanno agito senza ritardo dopo le denunce presentate dal primo richiedente e hanno prontamente attuato misure protettive per impedire ai richiedenti di rimanere esposti agli atti di violenza presunti (vedi paragrafi 78-79 sopra).</w:t>
      </w:r>
    </w:p>
    <w:p w14:paraId="2E6DD68D"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86.</w:t>
      </w:r>
      <w:r w:rsidRPr="004F76E5">
        <w:rPr>
          <w:rFonts w:ascii="Times New Roman" w:eastAsia="Times New Roman" w:hAnsi="Times New Roman" w:cs="Times New Roman"/>
          <w:color w:val="000000"/>
          <w:kern w:val="0"/>
          <w:lang w:eastAsia="it-IT"/>
          <w14:ligatures w14:val="none"/>
        </w:rPr>
        <w:t> I richiedenti tuttavia sottolinearono che non erano state adottate misure contro il G.P., nemmeno dopo il loro ricovero nel rifugio. Il Governo, da parte sua, ha sostenuto che, poiché i tre richiedenti erano stati ospitati in un rifugio, non c'era stato bisogno di imporre misure restrittive al G.P.</w:t>
      </w:r>
    </w:p>
    <w:p w14:paraId="46CC982B"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87.</w:t>
      </w:r>
      <w:r w:rsidRPr="004F76E5">
        <w:rPr>
          <w:rFonts w:ascii="Times New Roman" w:eastAsia="Times New Roman" w:hAnsi="Times New Roman" w:cs="Times New Roman"/>
          <w:color w:val="000000"/>
          <w:kern w:val="0"/>
          <w:lang w:eastAsia="it-IT"/>
          <w14:ligatures w14:val="none"/>
        </w:rPr>
        <w:t> Anche se la collocazione dei richiedenti nel rifugio, immediatamente dopo il reclamo del primo richiedente, ha impedito una possibile escalation della violenza, la Corte non è convinta che questa risposta soddisfacesse i requisiti di adeguatezza e proporzionalità richiesti da </w:t>
      </w:r>
      <w:r w:rsidRPr="004F76E5">
        <w:rPr>
          <w:rFonts w:ascii="Times New Roman" w:eastAsia="Times New Roman" w:hAnsi="Times New Roman" w:cs="Times New Roman"/>
          <w:i/>
          <w:iCs/>
          <w:color w:val="000000"/>
          <w:kern w:val="0"/>
          <w:lang w:eastAsia="it-IT"/>
          <w14:ligatures w14:val="none"/>
        </w:rPr>
        <w:t>Kurt</w:t>
      </w:r>
      <w:r w:rsidRPr="004F76E5">
        <w:rPr>
          <w:rFonts w:ascii="Times New Roman" w:eastAsia="Times New Roman" w:hAnsi="Times New Roman" w:cs="Times New Roman"/>
          <w:color w:val="000000"/>
          <w:kern w:val="0"/>
          <w:lang w:eastAsia="it-IT"/>
          <w14:ligatures w14:val="none"/>
        </w:rPr>
        <w:t> (citato sopra, § 179).</w:t>
      </w:r>
    </w:p>
    <w:p w14:paraId="31F68542" w14:textId="67756C61"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55" w:name="paragraph00088"/>
      <w:r w:rsidRPr="004F76E5">
        <w:rPr>
          <w:rFonts w:ascii="Times New Roman" w:eastAsia="Times New Roman" w:hAnsi="Times New Roman" w:cs="Times New Roman"/>
          <w:b/>
          <w:bCs/>
          <w:color w:val="000000"/>
          <w:kern w:val="0"/>
          <w:lang w:eastAsia="it-IT"/>
          <w14:ligatures w14:val="none"/>
        </w:rPr>
        <w:t>88</w:t>
      </w:r>
      <w:bookmarkEnd w:id="55"/>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Infatti, il rifugio dei richiedenti nel</w:t>
      </w:r>
      <w:r w:rsidR="008C3AA0" w:rsidRPr="004F76E5">
        <w:rPr>
          <w:rFonts w:ascii="Times New Roman" w:eastAsia="Times New Roman" w:hAnsi="Times New Roman" w:cs="Times New Roman"/>
          <w:color w:val="000000"/>
          <w:kern w:val="0"/>
          <w:lang w:eastAsia="it-IT"/>
          <w14:ligatures w14:val="none"/>
        </w:rPr>
        <w:t xml:space="preserve">la </w:t>
      </w:r>
      <w:proofErr w:type="spellStart"/>
      <w:r w:rsidR="008C3AA0" w:rsidRPr="004F76E5">
        <w:rPr>
          <w:rFonts w:ascii="Times New Roman" w:eastAsia="Times New Roman" w:hAnsi="Times New Roman" w:cs="Times New Roman"/>
          <w:color w:val="000000"/>
          <w:kern w:val="0"/>
          <w:lang w:eastAsia="it-IT"/>
          <w14:ligatures w14:val="none"/>
        </w:rPr>
        <w:t>comunita’</w:t>
      </w:r>
      <w:proofErr w:type="spellEnd"/>
      <w:r w:rsidR="008C3AA0" w:rsidRPr="004F76E5">
        <w:rPr>
          <w:rFonts w:ascii="Times New Roman" w:eastAsia="Times New Roman" w:hAnsi="Times New Roman" w:cs="Times New Roman"/>
          <w:color w:val="000000"/>
          <w:kern w:val="0"/>
          <w:lang w:eastAsia="it-IT"/>
          <w14:ligatures w14:val="none"/>
        </w:rPr>
        <w:t xml:space="preserve"> </w:t>
      </w:r>
      <w:r w:rsidRPr="004F76E5">
        <w:rPr>
          <w:rFonts w:ascii="Times New Roman" w:eastAsia="Times New Roman" w:hAnsi="Times New Roman" w:cs="Times New Roman"/>
          <w:color w:val="000000"/>
          <w:kern w:val="0"/>
          <w:lang w:eastAsia="it-IT"/>
          <w14:ligatures w14:val="none"/>
        </w:rPr>
        <w:t>durò più di tre anni e comportò una significativa interferenza con i loro diritti e libertà, in particolare alla luce delle restrittive regole operative del rifugio (vedi paragrafo 27 sopra). In queste circostanze, sembra che la misura adottata abbia imposto un onere maggiore alle presunte vittime di violenza rispetto al G.P., il presunto colpevole, che non sembra essere stato soggetto a alcuna misura.</w:t>
      </w:r>
    </w:p>
    <w:p w14:paraId="5963146F"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56" w:name="paragraph00089"/>
      <w:r w:rsidRPr="004F76E5">
        <w:rPr>
          <w:rFonts w:ascii="Times New Roman" w:eastAsia="Times New Roman" w:hAnsi="Times New Roman" w:cs="Times New Roman"/>
          <w:b/>
          <w:bCs/>
          <w:color w:val="000000"/>
          <w:kern w:val="0"/>
          <w:lang w:eastAsia="it-IT"/>
          <w14:ligatures w14:val="none"/>
        </w:rPr>
        <w:t>89</w:t>
      </w:r>
      <w:bookmarkEnd w:id="56"/>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w:t>
      </w:r>
      <w:proofErr w:type="gramStart"/>
      <w:r w:rsidRPr="004F76E5">
        <w:rPr>
          <w:rFonts w:ascii="Times New Roman" w:eastAsia="Times New Roman" w:hAnsi="Times New Roman" w:cs="Times New Roman"/>
          <w:color w:val="000000"/>
          <w:kern w:val="0"/>
          <w:lang w:eastAsia="it-IT"/>
          <w14:ligatures w14:val="none"/>
        </w:rPr>
        <w:t>Né</w:t>
      </w:r>
      <w:proofErr w:type="gramEnd"/>
      <w:r w:rsidRPr="004F76E5">
        <w:rPr>
          <w:rFonts w:ascii="Times New Roman" w:eastAsia="Times New Roman" w:hAnsi="Times New Roman" w:cs="Times New Roman"/>
          <w:color w:val="000000"/>
          <w:kern w:val="0"/>
          <w:lang w:eastAsia="it-IT"/>
          <w14:ligatures w14:val="none"/>
        </w:rPr>
        <w:t xml:space="preserve"> risulta dai documenti presenti nel fascicolo che, durante quel periodo, le autorità abbiano considerato la possibilità di adottare misure diverse dal rifugio (come, ad esempio, assegnare la casa di famiglia ai richiedenti o determinare l'importo dell'assegno di mantenimento per i figli e, allo stesso tempo, autorizzare la loro richiesta di trasferimento in Francia). che avrebbe garantito il rispetto per la vita privata delle vittime di violenza, continuando al contempo a proteggerle (ad esempio imponendo al D.P. un ordine restrittivo). Non sembra nemmeno che le autorità abbiano esaminato, su base continuativa, l'adeguatezza e la proporzionalità della misura adottata.</w:t>
      </w:r>
    </w:p>
    <w:p w14:paraId="4913CFE6"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90.</w:t>
      </w:r>
      <w:r w:rsidRPr="004F76E5">
        <w:rPr>
          <w:rFonts w:ascii="Times New Roman" w:eastAsia="Times New Roman" w:hAnsi="Times New Roman" w:cs="Times New Roman"/>
          <w:color w:val="000000"/>
          <w:kern w:val="0"/>
          <w:lang w:eastAsia="it-IT"/>
          <w14:ligatures w14:val="none"/>
        </w:rPr>
        <w:t> Alla luce delle considerazioni sopra dettate, la Corte conclude che le autorità interne non hanno adottato misure adeguate e proporzionate a favore dei ricorrenti.</w:t>
      </w:r>
    </w:p>
    <w:p w14:paraId="181B81C6" w14:textId="77777777" w:rsidR="00D21F64" w:rsidRPr="004F76E5" w:rsidRDefault="00D21F64" w:rsidP="00D21F64">
      <w:pPr>
        <w:shd w:val="clear" w:color="auto" w:fill="FFFFFF"/>
        <w:spacing w:before="280" w:after="120" w:line="240" w:lineRule="auto"/>
        <w:ind w:left="1372" w:hanging="334"/>
        <w:jc w:val="both"/>
        <w:rPr>
          <w:rFonts w:ascii="Times New Roman" w:eastAsia="Times New Roman" w:hAnsi="Times New Roman" w:cs="Times New Roman"/>
          <w:b/>
          <w:bCs/>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(ε) L'obbligo di condurre un'indagine efficace</w:t>
      </w:r>
      <w:r w:rsidRPr="004F76E5">
        <w:rPr>
          <w:rFonts w:ascii="Times New Roman" w:eastAsia="Times New Roman" w:hAnsi="Times New Roman" w:cs="Times New Roman"/>
          <w:b/>
          <w:bCs/>
          <w:color w:val="000000"/>
          <w:kern w:val="0"/>
          <w:sz w:val="14"/>
          <w:szCs w:val="14"/>
          <w:lang w:eastAsia="it-IT"/>
          <w14:ligatures w14:val="none"/>
        </w:rPr>
        <w:t>   </w:t>
      </w:r>
    </w:p>
    <w:p w14:paraId="724E4CE3"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91.</w:t>
      </w:r>
      <w:r w:rsidRPr="004F76E5">
        <w:rPr>
          <w:rFonts w:ascii="Times New Roman" w:eastAsia="Times New Roman" w:hAnsi="Times New Roman" w:cs="Times New Roman"/>
          <w:color w:val="000000"/>
          <w:kern w:val="0"/>
          <w:lang w:eastAsia="it-IT"/>
          <w14:ligatures w14:val="none"/>
        </w:rPr>
        <w:t> La Corte deve inoltre esaminare se il modo in cui i meccanismi giuridici sono stati applicati nel presente caso costituisca una violazione degli obblighi procedurali positivi vincolanti per lo Stato resistente ai sensi della Convenzione.</w:t>
      </w:r>
    </w:p>
    <w:p w14:paraId="40E89700" w14:textId="0551FB25"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92.</w:t>
      </w:r>
      <w:r w:rsidRPr="004F76E5">
        <w:rPr>
          <w:rFonts w:ascii="Times New Roman" w:eastAsia="Times New Roman" w:hAnsi="Times New Roman" w:cs="Times New Roman"/>
          <w:color w:val="000000"/>
          <w:kern w:val="0"/>
          <w:lang w:eastAsia="it-IT"/>
          <w14:ligatures w14:val="none"/>
        </w:rPr>
        <w:t xml:space="preserve"> In risposta al reclamo presentato dal primo richiedente il 16 aprile 2021 (vedi paragrafo 5 sopra), le autorità giudiziarie hanno aperto un'indagine il 23 aprile 2021. Dopo aver svolto alcune attività investigative (vedi paragrafo 8 sopra), il pubblico ministero, il 5 novembre 2021, ha presentato una richiesta per la </w:t>
      </w:r>
      <w:r w:rsidR="00730B02" w:rsidRPr="004F76E5">
        <w:rPr>
          <w:rFonts w:ascii="Times New Roman" w:eastAsia="Times New Roman" w:hAnsi="Times New Roman" w:cs="Times New Roman"/>
          <w:color w:val="000000"/>
          <w:kern w:val="0"/>
          <w:lang w:eastAsia="it-IT"/>
          <w14:ligatures w14:val="none"/>
        </w:rPr>
        <w:t xml:space="preserve">archiviazione </w:t>
      </w:r>
      <w:r w:rsidRPr="004F76E5">
        <w:rPr>
          <w:rFonts w:ascii="Times New Roman" w:eastAsia="Times New Roman" w:hAnsi="Times New Roman" w:cs="Times New Roman"/>
          <w:color w:val="000000"/>
          <w:kern w:val="0"/>
          <w:lang w:eastAsia="it-IT"/>
          <w14:ligatures w14:val="none"/>
        </w:rPr>
        <w:t>del procedimento (vedi paragrafo 10 sopra). In tale richiesta, il pubblico ministero, </w:t>
      </w:r>
      <w:r w:rsidRPr="004F76E5">
        <w:rPr>
          <w:rFonts w:ascii="Times New Roman" w:eastAsia="Times New Roman" w:hAnsi="Times New Roman" w:cs="Times New Roman"/>
          <w:i/>
          <w:iCs/>
          <w:color w:val="000000"/>
          <w:kern w:val="0"/>
          <w:lang w:eastAsia="it-IT"/>
          <w14:ligatures w14:val="none"/>
        </w:rPr>
        <w:t>tra l'altro</w:t>
      </w:r>
      <w:r w:rsidRPr="004F76E5">
        <w:rPr>
          <w:rFonts w:ascii="Times New Roman" w:eastAsia="Times New Roman" w:hAnsi="Times New Roman" w:cs="Times New Roman"/>
          <w:color w:val="000000"/>
          <w:kern w:val="0"/>
          <w:lang w:eastAsia="it-IT"/>
          <w14:ligatures w14:val="none"/>
        </w:rPr>
        <w:t xml:space="preserve">, affermò che il coltello posto sotto la gola del richiedente era chiaramente una "battuta di cattivo scherzo", che i colpi inflitti ai bambini costituivano semplici misure disciplinari che non avevano superato il diritto del padre di esercitare l'autorità genitoriale e che la presunta violenza sessuale non era stata provata, sulla base del fatto che era difficile dimostrare che il marito fosse a conoscenza della mancanza di consenso della moglie, considerando che "[era] normale per gli uomini dover superare un livello minimo di resistenza che ogni donna tendeva a mostrare quando era stanca dalla vita quotidiana e un uomo [faceva] un'avance sessuale". A seguito dell'obiezione del primo richiedente, furono ordinate ulteriori indagini. Tuttavia, dalla documentazione presentata dalle parti, non sembra che l'attività investigativa abbia fornito elementi aggiuntivi oltre a quelli già in possesso delle autorità nazionali nella fase precedente, poiché alcuni atti investigativi sono stati semplicemente ripetuti (vedi paragrafo 12 sopra). Al momento della presentazione della domanda presso la Corte, non si era ancora tenuta alcuna udienza (vedi paragrafo 17 sopra). Nelle osservazioni presentate nel novembre 2024, i richiedenti hanno sottolineato che la prima udienza nel procedimento penale contro G.P. era fissata per il 14 gennaio 2025, a seguito di molteplici rinvii effettuati senza alcuna giustificazione specifica. Nelle </w:t>
      </w:r>
      <w:r w:rsidRPr="004F76E5">
        <w:rPr>
          <w:rFonts w:ascii="Times New Roman" w:eastAsia="Times New Roman" w:hAnsi="Times New Roman" w:cs="Times New Roman"/>
          <w:color w:val="000000"/>
          <w:kern w:val="0"/>
          <w:lang w:eastAsia="it-IT"/>
          <w14:ligatures w14:val="none"/>
        </w:rPr>
        <w:lastRenderedPageBreak/>
        <w:t>osservazioni presentate dal Governo, non si fa alcun riferimento all'esito del procedimento penale contro il G.P., né indicano progressi significativi in relazione ai procedimenti processuali.</w:t>
      </w:r>
    </w:p>
    <w:p w14:paraId="35F5C2A0"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93</w:t>
      </w:r>
      <w:r w:rsidRPr="004F76E5">
        <w:rPr>
          <w:rFonts w:ascii="Times New Roman" w:eastAsia="Times New Roman" w:hAnsi="Times New Roman" w:cs="Times New Roman"/>
          <w:color w:val="000000"/>
          <w:kern w:val="0"/>
          <w:lang w:eastAsia="it-IT"/>
          <w14:ligatures w14:val="none"/>
        </w:rPr>
        <w:t>. La Corte osserva che, nel caso attuale, esiste un chiaro legame tra i ritardi e l'efficacia complessiva dell'indagine, considerando che il procedimento penale è stato avviato nell'aprile 2021 e non sembra che la prima udienza si sia tenuta entro gennaio 2025. A tal proposito, la Corte osserva che il notevole ritardo nei procedimenti penali contro il G.P. rischia seriamente di minare l'efficacia della protezione giudiziaria per le vittime, poiché ha un chiaro impatto sulla possibilità pratica di ottenere una determinazione della responsabilità penale del G.P.</w:t>
      </w:r>
    </w:p>
    <w:p w14:paraId="303855FC"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94</w:t>
      </w:r>
      <w:r w:rsidRPr="004F76E5">
        <w:rPr>
          <w:rFonts w:ascii="Times New Roman" w:eastAsia="Times New Roman" w:hAnsi="Times New Roman" w:cs="Times New Roman"/>
          <w:color w:val="000000"/>
          <w:kern w:val="0"/>
          <w:lang w:eastAsia="it-IT"/>
          <w14:ligatures w14:val="none"/>
        </w:rPr>
        <w:t>. Di conseguenza, la Corte respinge l'obiezione preliminare del Governo di non esaurimento dei rimedi interni sulla base del fatto che la domanda era prematura.</w:t>
      </w:r>
    </w:p>
    <w:p w14:paraId="7C476090"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95</w:t>
      </w:r>
      <w:r w:rsidRPr="004F76E5">
        <w:rPr>
          <w:rFonts w:ascii="Times New Roman" w:eastAsia="Times New Roman" w:hAnsi="Times New Roman" w:cs="Times New Roman"/>
          <w:color w:val="000000"/>
          <w:kern w:val="0"/>
          <w:lang w:eastAsia="it-IT"/>
          <w14:ligatures w14:val="none"/>
        </w:rPr>
        <w:t>. Inoltre, considerando tutti gli elementi sopra citati, la Corte ritiene che i procedimenti contestati non hanno soddisfatto i requisiti di un'indagine "tempestiva", "approfondita" ed "efficace" ai fini degli articoli 3 e 8 della Convenzione (vedi paragrafi 72-75 sopra). Ne consegue che le autorità, attraverso la loro inazione per un periodo così lungo, hanno violato gli obblighi positivi che erano loro incomposti e hanno permesso che la sofferenza fisica e psicologica ripetuta, segnalata dal primo richiedente, rimanesse impunita.</w:t>
      </w:r>
    </w:p>
    <w:p w14:paraId="5950611B"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96</w:t>
      </w:r>
      <w:r w:rsidRPr="004F76E5">
        <w:rPr>
          <w:rFonts w:ascii="Times New Roman" w:eastAsia="Times New Roman" w:hAnsi="Times New Roman" w:cs="Times New Roman"/>
          <w:color w:val="000000"/>
          <w:kern w:val="0"/>
          <w:lang w:eastAsia="it-IT"/>
          <w14:ligatures w14:val="none"/>
        </w:rPr>
        <w:t>. Inoltre, la Corte è colpita dalle ragioni per cui è stata richiesta l'interruzione dei procedimenti contro G.P.: motivazioni che riflettevano una cultura sessista e stereotipata che deve essere evitata nelle aule di tribunale della magistratura nazionale (vedi</w:t>
      </w:r>
      <w:r w:rsidRPr="004F76E5">
        <w:rPr>
          <w:rFonts w:ascii="Times New Roman" w:eastAsia="Times New Roman" w:hAnsi="Times New Roman" w:cs="Times New Roman"/>
          <w:i/>
          <w:iCs/>
          <w:color w:val="000000"/>
          <w:kern w:val="0"/>
          <w:lang w:eastAsia="it-IT"/>
          <w14:ligatures w14:val="none"/>
        </w:rPr>
        <w:t> E.A. e Associazione Europea per la Lotta alla Violenza contro le Donne sul Lavoro contro Francia</w:t>
      </w:r>
      <w:r w:rsidRPr="004F76E5">
        <w:rPr>
          <w:rFonts w:ascii="Times New Roman" w:eastAsia="Times New Roman" w:hAnsi="Times New Roman" w:cs="Times New Roman"/>
          <w:color w:val="000000"/>
          <w:kern w:val="0"/>
          <w:lang w:eastAsia="it-IT"/>
          <w14:ligatures w14:val="none"/>
        </w:rPr>
        <w:t>, No. </w:t>
      </w:r>
      <w:hyperlink r:id="rId40" w:anchor="{%22appno%22:[%2230556/22%22]}" w:tgtFrame="_blank" w:history="1">
        <w:r w:rsidRPr="004F76E5">
          <w:rPr>
            <w:rFonts w:ascii="Times New Roman" w:eastAsia="Times New Roman" w:hAnsi="Times New Roman" w:cs="Times New Roman"/>
            <w:color w:val="0069D6"/>
            <w:kern w:val="0"/>
            <w:u w:val="single"/>
            <w:lang w:eastAsia="it-IT"/>
            <w14:ligatures w14:val="none"/>
          </w:rPr>
          <w:t>30556/22</w:t>
        </w:r>
      </w:hyperlink>
      <w:r w:rsidRPr="004F76E5">
        <w:rPr>
          <w:rFonts w:ascii="Times New Roman" w:eastAsia="Times New Roman" w:hAnsi="Times New Roman" w:cs="Times New Roman"/>
          <w:color w:val="000000"/>
          <w:kern w:val="0"/>
          <w:lang w:eastAsia="it-IT"/>
          <w14:ligatures w14:val="none"/>
        </w:rPr>
        <w:t>, § 138, 4 settembre 2025). Su questo punto la Corte, sottolineando che le decisioni basate su stereotipi contribuiscono all'accettazione della violenza domestica, ritiene che l'approccio adottato dal pubblico ministero rifletta esattamente le valutazioni fatte da GREVIO (vedi paragrafi 47 e 48 sopra), dove sottolinea la tendenza a dare credito a stereotipi e convinzioni comuni che considerano una relazione intima intrinsecamente basata su sottomissione/</w:t>
      </w:r>
      <w:proofErr w:type="spellStart"/>
      <w:r w:rsidRPr="004F76E5">
        <w:rPr>
          <w:rFonts w:ascii="Times New Roman" w:eastAsia="Times New Roman" w:hAnsi="Times New Roman" w:cs="Times New Roman"/>
          <w:color w:val="000000"/>
          <w:kern w:val="0"/>
          <w:lang w:eastAsia="it-IT"/>
          <w14:ligatures w14:val="none"/>
        </w:rPr>
        <w:t>sopraffattezza</w:t>
      </w:r>
      <w:proofErr w:type="spellEnd"/>
      <w:r w:rsidRPr="004F76E5">
        <w:rPr>
          <w:rFonts w:ascii="Times New Roman" w:eastAsia="Times New Roman" w:hAnsi="Times New Roman" w:cs="Times New Roman"/>
          <w:color w:val="000000"/>
          <w:kern w:val="0"/>
          <w:lang w:eastAsia="it-IT"/>
          <w14:ligatures w14:val="none"/>
        </w:rPr>
        <w:t xml:space="preserve"> e possessività. A tal proposito, la Corte condivide le preoccupazioni espresse da GREVIO riguardo alla possibilità che le vittime di violenza domestica possano continuare a subire vittimizzazione secondaria nelle aule di tribunale.</w:t>
      </w:r>
    </w:p>
    <w:p w14:paraId="7BAA3F1E" w14:textId="1DF240D2"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97.</w:t>
      </w:r>
      <w:r w:rsidRPr="004F76E5">
        <w:rPr>
          <w:rFonts w:ascii="Times New Roman" w:eastAsia="Times New Roman" w:hAnsi="Times New Roman" w:cs="Times New Roman"/>
          <w:color w:val="000000"/>
          <w:kern w:val="0"/>
          <w:lang w:eastAsia="it-IT"/>
          <w14:ligatures w14:val="none"/>
        </w:rPr>
        <w:t> La Corte ribadisce inoltre la particolare diligenza richiesta nel trattare le denunce di violenza domestica e ritiene che le caratteristiche specifiche dei casi di violenza domestica, come riconosciute dalla Convenzione di Istanbul, debbano essere considerate nei procedimenti interni (vedi</w:t>
      </w:r>
      <w:r w:rsidRPr="004F76E5">
        <w:rPr>
          <w:rFonts w:ascii="Times New Roman" w:eastAsia="Times New Roman" w:hAnsi="Times New Roman" w:cs="Times New Roman"/>
          <w:i/>
          <w:iCs/>
          <w:color w:val="000000"/>
          <w:kern w:val="0"/>
          <w:lang w:eastAsia="it-IT"/>
          <w14:ligatures w14:val="none"/>
        </w:rPr>
        <w:t> P.P. contro Italia</w:t>
      </w:r>
      <w:r w:rsidRPr="004F76E5">
        <w:rPr>
          <w:rFonts w:ascii="Times New Roman" w:eastAsia="Times New Roman" w:hAnsi="Times New Roman" w:cs="Times New Roman"/>
          <w:color w:val="000000"/>
          <w:kern w:val="0"/>
          <w:lang w:eastAsia="it-IT"/>
          <w14:ligatures w14:val="none"/>
        </w:rPr>
        <w:t>, no. </w:t>
      </w:r>
      <w:hyperlink r:id="rId41" w:anchor="{%22appno%22:[%2264066/19%22]}" w:tgtFrame="_blank" w:history="1">
        <w:r w:rsidRPr="004F76E5">
          <w:rPr>
            <w:rFonts w:ascii="Times New Roman" w:eastAsia="Times New Roman" w:hAnsi="Times New Roman" w:cs="Times New Roman"/>
            <w:color w:val="0069D6"/>
            <w:kern w:val="0"/>
            <w:u w:val="single"/>
            <w:lang w:eastAsia="it-IT"/>
            <w14:ligatures w14:val="none"/>
          </w:rPr>
          <w:t>64066/19</w:t>
        </w:r>
      </w:hyperlink>
      <w:r w:rsidRPr="004F76E5">
        <w:rPr>
          <w:rFonts w:ascii="Times New Roman" w:eastAsia="Times New Roman" w:hAnsi="Times New Roman" w:cs="Times New Roman"/>
          <w:color w:val="000000"/>
          <w:kern w:val="0"/>
          <w:lang w:eastAsia="it-IT"/>
          <w14:ligatures w14:val="none"/>
        </w:rPr>
        <w:t>, § 46, 13 febbraio 2025). La Corte osserva che, attraverso il loro approccio, le autorità italiane non hanno riconosciuto le complesse dinamiche della violenza domestica. In particolare, le autorità non hanno fatto sforzi seri per ottenere una visione complessiva della situazione dei richiedenti, come richiesto in casi di questo tipo. Nelle circostanze del caso, una valutazione adeguata avrebbe dovuto includere un'analisi dell'intera condotta del</w:t>
      </w:r>
      <w:r w:rsidR="00A87D23" w:rsidRPr="004F76E5">
        <w:rPr>
          <w:rFonts w:ascii="Times New Roman" w:eastAsia="Times New Roman" w:hAnsi="Times New Roman" w:cs="Times New Roman"/>
          <w:color w:val="000000"/>
          <w:kern w:val="0"/>
          <w:lang w:eastAsia="it-IT"/>
          <w14:ligatures w14:val="none"/>
        </w:rPr>
        <w:t xml:space="preserve"> GP</w:t>
      </w:r>
      <w:r w:rsidRPr="004F76E5">
        <w:rPr>
          <w:rFonts w:ascii="Times New Roman" w:eastAsia="Times New Roman" w:hAnsi="Times New Roman" w:cs="Times New Roman"/>
          <w:color w:val="000000"/>
          <w:kern w:val="0"/>
          <w:lang w:eastAsia="it-IT"/>
          <w14:ligatures w14:val="none"/>
        </w:rPr>
        <w:t>, comprese le accuse di violenza sessuale, violenza psicologica e fisica e violenza economica.</w:t>
      </w:r>
    </w:p>
    <w:p w14:paraId="4D445AD5"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98.</w:t>
      </w:r>
      <w:r w:rsidRPr="004F76E5">
        <w:rPr>
          <w:rFonts w:ascii="Times New Roman" w:eastAsia="Times New Roman" w:hAnsi="Times New Roman" w:cs="Times New Roman"/>
          <w:color w:val="000000"/>
          <w:kern w:val="0"/>
          <w:lang w:eastAsia="it-IT"/>
          <w14:ligatures w14:val="none"/>
        </w:rPr>
        <w:t> La Corte conclude che, tenendo conto del modo in cui le autorità interne hanno gestito il materiale davanti a loro che indicava violenza domestica contro i richiedenti – e in particolare il loro mancato nel garantire che il colpevole fosse perseguito e, quando opportuno, che la sua potenziale responsabilità penale fosse stata valutata senza indebito ritardo – hanno fallito, nel contesto dell'indagine penale, fornire una risposta proporzionata alla gravità dei fatti sostenuti dai richiedenti.</w:t>
      </w:r>
    </w:p>
    <w:p w14:paraId="525D7DD0"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bookmarkStart w:id="57" w:name="paragraph00098"/>
      <w:r w:rsidRPr="004F76E5">
        <w:rPr>
          <w:rFonts w:ascii="Times New Roman" w:eastAsia="Times New Roman" w:hAnsi="Times New Roman" w:cs="Times New Roman"/>
          <w:b/>
          <w:bCs/>
          <w:color w:val="000000"/>
          <w:kern w:val="0"/>
          <w:lang w:eastAsia="it-IT"/>
          <w14:ligatures w14:val="none"/>
        </w:rPr>
        <w:t>99</w:t>
      </w:r>
      <w:bookmarkEnd w:id="57"/>
      <w:r w:rsidRPr="004F76E5">
        <w:rPr>
          <w:rFonts w:ascii="Times New Roman" w:eastAsia="Times New Roman" w:hAnsi="Times New Roman" w:cs="Times New Roman"/>
          <w:b/>
          <w:bCs/>
          <w:color w:val="000000"/>
          <w:kern w:val="0"/>
          <w:lang w:eastAsia="it-IT"/>
          <w14:ligatures w14:val="none"/>
        </w:rPr>
        <w:t>.</w:t>
      </w:r>
      <w:r w:rsidRPr="004F76E5">
        <w:rPr>
          <w:rFonts w:ascii="Times New Roman" w:eastAsia="Times New Roman" w:hAnsi="Times New Roman" w:cs="Times New Roman"/>
          <w:color w:val="000000"/>
          <w:kern w:val="0"/>
          <w:lang w:eastAsia="it-IT"/>
          <w14:ligatures w14:val="none"/>
        </w:rPr>
        <w:t> Ne consegue che, nelle circostanze del caso, tenendo conto del pericolo sociale specifico rappresentato dalla violenza domestica e della necessità di combatterla attraverso azioni efficaci e deterrenti, lo Stato, nella sua risposta alla violenza subita dai ricorrenti, non ha adeguatamente adempiuto al proprio obbligo procedurale per garantire che la violenza a cui erano stati sottoposti fosse affrontata in modo appropriato.</w:t>
      </w:r>
    </w:p>
    <w:p w14:paraId="67B065A2" w14:textId="5EE38093" w:rsidR="00D21F64" w:rsidRPr="004F76E5" w:rsidRDefault="00D21F64" w:rsidP="00D21F64">
      <w:pPr>
        <w:shd w:val="clear" w:color="auto" w:fill="FFFFFF"/>
        <w:spacing w:before="280" w:after="120" w:line="240" w:lineRule="auto"/>
        <w:ind w:left="1372" w:hanging="334"/>
        <w:jc w:val="both"/>
        <w:rPr>
          <w:rFonts w:ascii="Times New Roman" w:eastAsia="Times New Roman" w:hAnsi="Times New Roman" w:cs="Times New Roman"/>
          <w:b/>
          <w:bCs/>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(f)</w:t>
      </w:r>
      <w:r w:rsidR="00A87D23" w:rsidRPr="004F76E5">
        <w:rPr>
          <w:rFonts w:ascii="Times New Roman" w:eastAsia="Times New Roman" w:hAnsi="Times New Roman" w:cs="Times New Roman"/>
          <w:b/>
          <w:bCs/>
          <w:color w:val="000000"/>
          <w:kern w:val="0"/>
          <w:sz w:val="20"/>
          <w:szCs w:val="20"/>
          <w:lang w:eastAsia="it-IT"/>
          <w14:ligatures w14:val="none"/>
        </w:rPr>
        <w:t xml:space="preserve"> </w:t>
      </w:r>
      <w:r w:rsidRPr="004F76E5">
        <w:rPr>
          <w:rFonts w:ascii="Times New Roman" w:eastAsia="Times New Roman" w:hAnsi="Times New Roman" w:cs="Times New Roman"/>
          <w:b/>
          <w:bCs/>
          <w:color w:val="000000"/>
          <w:kern w:val="0"/>
          <w:sz w:val="20"/>
          <w:szCs w:val="20"/>
          <w:lang w:eastAsia="it-IT"/>
          <w14:ligatures w14:val="none"/>
        </w:rPr>
        <w:t>Conclusione</w:t>
      </w:r>
    </w:p>
    <w:p w14:paraId="7537E638" w14:textId="77777777"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100. Le considerazioni sopra menzionate sono sufficienti a permettere alla Corte di concludere che vi sia stata una violazione degli obblighi positivi imponenti allo Stato resistente ai sensi degli articoli 3 e 8 della Convenzione.</w:t>
      </w:r>
    </w:p>
    <w:p w14:paraId="18BE52A1" w14:textId="77777777" w:rsidR="00A87D23" w:rsidRPr="004F76E5" w:rsidRDefault="00A87D23"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0F1BC48A" w14:textId="77777777" w:rsidR="00A87D23" w:rsidRPr="004F76E5" w:rsidRDefault="00A87D23"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7C87E189" w14:textId="77777777" w:rsidR="00D21F64" w:rsidRPr="004F76E5" w:rsidRDefault="00D21F64" w:rsidP="00D21F64">
      <w:pPr>
        <w:numPr>
          <w:ilvl w:val="0"/>
          <w:numId w:val="5"/>
        </w:numPr>
        <w:shd w:val="clear" w:color="auto" w:fill="FFFFFF"/>
        <w:spacing w:before="280" w:after="240" w:line="240" w:lineRule="auto"/>
        <w:ind w:left="1020"/>
        <w:jc w:val="both"/>
        <w:rPr>
          <w:rFonts w:ascii="Times New Roman" w:eastAsia="Times New Roman" w:hAnsi="Times New Roman" w:cs="Times New Roman"/>
          <w:b/>
          <w:bCs/>
          <w:cap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PRESUNTA VIOLAZIONE DELL'ARTICOLO 8 DELLA CONVENZIONE riguarda l'inazione del Tribunale Minorile in relazione ai diritti di custodia e la permanenza nel rifugio</w:t>
      </w:r>
    </w:p>
    <w:p w14:paraId="03E433E4" w14:textId="522F135F" w:rsidR="00D21F64" w:rsidRPr="004F76E5" w:rsidRDefault="00D21F64"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101</w:t>
      </w:r>
      <w:r w:rsidRPr="004F76E5">
        <w:rPr>
          <w:rFonts w:ascii="Times New Roman" w:eastAsia="Times New Roman" w:hAnsi="Times New Roman" w:cs="Times New Roman"/>
          <w:color w:val="000000"/>
          <w:kern w:val="0"/>
          <w:lang w:eastAsia="it-IT"/>
          <w14:ligatures w14:val="none"/>
        </w:rPr>
        <w:t xml:space="preserve">. Ai sensi dell'articolo 8 della Convenzione, i richiedenti si lamentarono anche dell'inerzia del Tribunale </w:t>
      </w:r>
      <w:r w:rsidR="00A87D23" w:rsidRPr="004F76E5">
        <w:rPr>
          <w:rFonts w:ascii="Times New Roman" w:eastAsia="Times New Roman" w:hAnsi="Times New Roman" w:cs="Times New Roman"/>
          <w:color w:val="000000"/>
          <w:kern w:val="0"/>
          <w:lang w:eastAsia="it-IT"/>
          <w14:ligatures w14:val="none"/>
        </w:rPr>
        <w:t xml:space="preserve">per i </w:t>
      </w:r>
      <w:proofErr w:type="gramStart"/>
      <w:r w:rsidRPr="004F76E5">
        <w:rPr>
          <w:rFonts w:ascii="Times New Roman" w:eastAsia="Times New Roman" w:hAnsi="Times New Roman" w:cs="Times New Roman"/>
          <w:color w:val="000000"/>
          <w:kern w:val="0"/>
          <w:lang w:eastAsia="it-IT"/>
          <w14:ligatures w14:val="none"/>
        </w:rPr>
        <w:t>Minori</w:t>
      </w:r>
      <w:r w:rsidR="00A87D23" w:rsidRPr="004F76E5">
        <w:rPr>
          <w:rFonts w:ascii="Times New Roman" w:eastAsia="Times New Roman" w:hAnsi="Times New Roman" w:cs="Times New Roman"/>
          <w:color w:val="000000"/>
          <w:kern w:val="0"/>
          <w:lang w:eastAsia="it-IT"/>
          <w14:ligatures w14:val="none"/>
        </w:rPr>
        <w:t xml:space="preserve"> </w:t>
      </w:r>
      <w:r w:rsidRPr="004F76E5">
        <w:rPr>
          <w:rFonts w:ascii="Times New Roman" w:eastAsia="Times New Roman" w:hAnsi="Times New Roman" w:cs="Times New Roman"/>
          <w:color w:val="000000"/>
          <w:kern w:val="0"/>
          <w:lang w:eastAsia="it-IT"/>
          <w14:ligatures w14:val="none"/>
        </w:rPr>
        <w:t xml:space="preserve"> riguardo</w:t>
      </w:r>
      <w:proofErr w:type="gramEnd"/>
      <w:r w:rsidRPr="004F76E5">
        <w:rPr>
          <w:rFonts w:ascii="Times New Roman" w:eastAsia="Times New Roman" w:hAnsi="Times New Roman" w:cs="Times New Roman"/>
          <w:color w:val="000000"/>
          <w:kern w:val="0"/>
          <w:lang w:eastAsia="it-IT"/>
          <w14:ligatures w14:val="none"/>
        </w:rPr>
        <w:t xml:space="preserve"> alle richieste relative ai diritti di visita e custodia e sostennero che il ricovero di tre anni nel rifugio aveva comportato un'interferenza sproporzionata con i loro diritti e libertà.</w:t>
      </w:r>
    </w:p>
    <w:p w14:paraId="7C32F27C" w14:textId="77777777" w:rsidR="00F9301F" w:rsidRPr="004F76E5" w:rsidRDefault="00F9301F"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52EA7C58" w14:textId="77777777" w:rsidR="00F9301F" w:rsidRPr="004F76E5" w:rsidRDefault="00F9301F"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103EEE1A" w14:textId="77777777" w:rsidR="00F9301F" w:rsidRPr="004F76E5" w:rsidRDefault="00F9301F"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49115BFF" w14:textId="77777777" w:rsidR="00F9301F" w:rsidRPr="004F76E5" w:rsidRDefault="00F9301F" w:rsidP="00F9301F">
      <w:pPr>
        <w:shd w:val="clear" w:color="auto" w:fill="FFFFFF"/>
        <w:spacing w:before="280" w:after="240" w:line="240" w:lineRule="auto"/>
        <w:ind w:left="584" w:hanging="352"/>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A.</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b/>
          <w:bCs/>
          <w:color w:val="000000"/>
          <w:kern w:val="0"/>
          <w:lang w:eastAsia="it-IT"/>
          <w14:ligatures w14:val="none"/>
        </w:rPr>
        <w:t>Ammissibilità</w:t>
      </w:r>
      <w:r w:rsidRPr="004F76E5">
        <w:rPr>
          <w:rFonts w:ascii="Times New Roman" w:eastAsia="Times New Roman" w:hAnsi="Times New Roman" w:cs="Times New Roman"/>
          <w:color w:val="000000"/>
          <w:kern w:val="0"/>
          <w:sz w:val="14"/>
          <w:szCs w:val="14"/>
          <w:lang w:eastAsia="it-IT"/>
          <w14:ligatures w14:val="none"/>
        </w:rPr>
        <w:t>   </w:t>
      </w:r>
    </w:p>
    <w:p w14:paraId="3A032E76" w14:textId="77777777" w:rsidR="00F9301F" w:rsidRPr="004F76E5" w:rsidRDefault="00F9301F" w:rsidP="00F9301F">
      <w:pPr>
        <w:numPr>
          <w:ilvl w:val="0"/>
          <w:numId w:val="6"/>
        </w:numPr>
        <w:shd w:val="clear" w:color="auto" w:fill="FFFFFF"/>
        <w:spacing w:before="100" w:beforeAutospacing="1" w:after="120" w:line="240" w:lineRule="auto"/>
        <w:ind w:left="1360"/>
        <w:jc w:val="both"/>
        <w:rPr>
          <w:rFonts w:ascii="Times New Roman" w:eastAsia="Times New Roman" w:hAnsi="Times New Roman" w:cs="Times New Roman"/>
          <w:i/>
          <w:iCs/>
          <w:color w:val="000000"/>
          <w:kern w:val="0"/>
          <w:lang w:eastAsia="it-IT"/>
          <w14:ligatures w14:val="none"/>
        </w:rPr>
      </w:pPr>
      <w:r w:rsidRPr="004F76E5">
        <w:rPr>
          <w:rFonts w:ascii="Times New Roman" w:eastAsia="Times New Roman" w:hAnsi="Times New Roman" w:cs="Times New Roman"/>
          <w:i/>
          <w:iCs/>
          <w:color w:val="000000"/>
          <w:kern w:val="0"/>
          <w:lang w:eastAsia="it-IT"/>
          <w14:ligatures w14:val="none"/>
        </w:rPr>
        <w:t>Osservazioni delle parti</w:t>
      </w:r>
    </w:p>
    <w:p w14:paraId="11007E8B" w14:textId="77777777" w:rsidR="00F9301F" w:rsidRPr="004F76E5" w:rsidRDefault="00F9301F" w:rsidP="00F9301F">
      <w:pPr>
        <w:shd w:val="clear" w:color="auto" w:fill="FFFFFF"/>
        <w:spacing w:after="120" w:line="240" w:lineRule="auto"/>
        <w:ind w:left="975" w:hanging="340"/>
        <w:jc w:val="both"/>
        <w:rPr>
          <w:rFonts w:ascii="Times New Roman" w:eastAsia="Times New Roman" w:hAnsi="Times New Roman" w:cs="Times New Roman"/>
          <w:b/>
          <w:bCs/>
          <w:color w:val="000000"/>
          <w:kern w:val="0"/>
          <w:sz w:val="20"/>
          <w:szCs w:val="20"/>
          <w:lang w:eastAsia="it-IT"/>
          <w14:ligatures w14:val="none"/>
        </w:rPr>
      </w:pPr>
    </w:p>
    <w:p w14:paraId="271A4321" w14:textId="7EC970FC" w:rsidR="00F9301F" w:rsidRPr="004F76E5" w:rsidRDefault="00F9301F" w:rsidP="00F9301F">
      <w:pPr>
        <w:shd w:val="clear" w:color="auto" w:fill="FFFFFF"/>
        <w:spacing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Il Governo</w:t>
      </w:r>
      <w:r w:rsidRPr="004F76E5">
        <w:rPr>
          <w:rFonts w:ascii="Times New Roman" w:eastAsia="Times New Roman" w:hAnsi="Times New Roman" w:cs="Times New Roman"/>
          <w:color w:val="000000"/>
          <w:kern w:val="0"/>
          <w:sz w:val="14"/>
          <w:szCs w:val="14"/>
          <w:lang w:eastAsia="it-IT"/>
          <w14:ligatures w14:val="none"/>
        </w:rPr>
        <w:t>  </w:t>
      </w:r>
    </w:p>
    <w:p w14:paraId="358E0FCC" w14:textId="5876AA09"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102</w:t>
      </w:r>
      <w:r w:rsidRPr="004F76E5">
        <w:rPr>
          <w:rFonts w:ascii="Times New Roman" w:eastAsia="Times New Roman" w:hAnsi="Times New Roman" w:cs="Times New Roman"/>
          <w:color w:val="000000"/>
          <w:kern w:val="0"/>
          <w:lang w:eastAsia="it-IT"/>
          <w14:ligatures w14:val="none"/>
        </w:rPr>
        <w:t>. Il Governo ha obiettato che, al momento della presentazione della domanda, i richiedenti non avevano esaurito i rimedi domestici. L'obiezione si basava su due elementi: (i</w:t>
      </w:r>
      <w:proofErr w:type="gramStart"/>
      <w:r w:rsidRPr="004F76E5">
        <w:rPr>
          <w:rFonts w:ascii="Times New Roman" w:eastAsia="Times New Roman" w:hAnsi="Times New Roman" w:cs="Times New Roman"/>
          <w:color w:val="000000"/>
          <w:kern w:val="0"/>
          <w:lang w:eastAsia="it-IT"/>
          <w14:ligatures w14:val="none"/>
        </w:rPr>
        <w:t>)  mancata</w:t>
      </w:r>
      <w:proofErr w:type="gramEnd"/>
      <w:r w:rsidRPr="004F76E5">
        <w:rPr>
          <w:rFonts w:ascii="Times New Roman" w:eastAsia="Times New Roman" w:hAnsi="Times New Roman" w:cs="Times New Roman"/>
          <w:color w:val="000000"/>
          <w:kern w:val="0"/>
          <w:lang w:eastAsia="it-IT"/>
          <w14:ligatures w14:val="none"/>
        </w:rPr>
        <w:t xml:space="preserve"> attesa da parte dei ricorrenti alla conclusione del procedimento davanti al Tribunale per i Minori; e (ii) il fatto che, nel procedimento davanti a quella corte, i ricorrenti non avevano sollevato le stesse denunce successivamente presentate davanti alla Corte.</w:t>
      </w:r>
    </w:p>
    <w:p w14:paraId="2600D18A" w14:textId="77777777" w:rsidR="00F9301F" w:rsidRPr="004F76E5" w:rsidRDefault="00F9301F" w:rsidP="00F9301F">
      <w:pPr>
        <w:shd w:val="clear" w:color="auto" w:fill="FFFFFF"/>
        <w:spacing w:before="280"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(b)</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I richiedenti</w:t>
      </w:r>
      <w:r w:rsidRPr="004F76E5">
        <w:rPr>
          <w:rFonts w:ascii="Times New Roman" w:eastAsia="Times New Roman" w:hAnsi="Times New Roman" w:cs="Times New Roman"/>
          <w:color w:val="000000"/>
          <w:kern w:val="0"/>
          <w:sz w:val="14"/>
          <w:szCs w:val="14"/>
          <w:lang w:eastAsia="it-IT"/>
          <w14:ligatures w14:val="none"/>
        </w:rPr>
        <w:t>  </w:t>
      </w:r>
    </w:p>
    <w:p w14:paraId="0873591A"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103</w:t>
      </w:r>
      <w:r w:rsidRPr="004F76E5">
        <w:rPr>
          <w:rFonts w:ascii="Times New Roman" w:eastAsia="Times New Roman" w:hAnsi="Times New Roman" w:cs="Times New Roman"/>
          <w:color w:val="000000"/>
          <w:kern w:val="0"/>
          <w:lang w:eastAsia="it-IT"/>
          <w14:ligatures w14:val="none"/>
        </w:rPr>
        <w:t>. I richiedenti si opposero alla richiesta del Governo di non esaurimento dei rimedi domestici. In particolare, si riferivano alla giurisprudenza consolidata della Corte (vedi</w:t>
      </w:r>
      <w:r w:rsidRPr="004F76E5">
        <w:rPr>
          <w:rFonts w:ascii="Times New Roman" w:eastAsia="Times New Roman" w:hAnsi="Times New Roman" w:cs="Times New Roman"/>
          <w:i/>
          <w:iCs/>
          <w:color w:val="000000"/>
          <w:kern w:val="0"/>
          <w:lang w:eastAsia="it-IT"/>
          <w14:ligatures w14:val="none"/>
        </w:rPr>
        <w:t> </w:t>
      </w:r>
      <w:proofErr w:type="spellStart"/>
      <w:r w:rsidRPr="004F76E5">
        <w:rPr>
          <w:rFonts w:ascii="Times New Roman" w:eastAsia="Times New Roman" w:hAnsi="Times New Roman" w:cs="Times New Roman"/>
          <w:i/>
          <w:iCs/>
          <w:color w:val="000000"/>
          <w:kern w:val="0"/>
          <w:lang w:eastAsia="it-IT"/>
          <w14:ligatures w14:val="none"/>
        </w:rPr>
        <w:t>Karoussiotis</w:t>
      </w:r>
      <w:proofErr w:type="spellEnd"/>
      <w:r w:rsidRPr="004F76E5">
        <w:rPr>
          <w:rFonts w:ascii="Times New Roman" w:eastAsia="Times New Roman" w:hAnsi="Times New Roman" w:cs="Times New Roman"/>
          <w:color w:val="000000"/>
          <w:kern w:val="0"/>
          <w:lang w:eastAsia="it-IT"/>
          <w14:ligatures w14:val="none"/>
        </w:rPr>
        <w:t>, §§ 57 e 87-92, e </w:t>
      </w:r>
      <w:r w:rsidRPr="004F76E5">
        <w:rPr>
          <w:rFonts w:ascii="Times New Roman" w:eastAsia="Times New Roman" w:hAnsi="Times New Roman" w:cs="Times New Roman"/>
          <w:i/>
          <w:iCs/>
          <w:color w:val="000000"/>
          <w:kern w:val="0"/>
          <w:lang w:eastAsia="it-IT"/>
          <w14:ligatures w14:val="none"/>
        </w:rPr>
        <w:t>A.I. v. Italia</w:t>
      </w:r>
      <w:r w:rsidRPr="004F76E5">
        <w:rPr>
          <w:rFonts w:ascii="Times New Roman" w:eastAsia="Times New Roman" w:hAnsi="Times New Roman" w:cs="Times New Roman"/>
          <w:color w:val="000000"/>
          <w:kern w:val="0"/>
          <w:lang w:eastAsia="it-IT"/>
          <w14:ligatures w14:val="none"/>
        </w:rPr>
        <w:t>, § 60, entrambi citate sopra) secondo la quale l'obiezione di non esaurimento perse la sua rilevanza una volta concluso il procedimento.</w:t>
      </w:r>
    </w:p>
    <w:p w14:paraId="4C2DF63D" w14:textId="77777777" w:rsidR="00F9301F" w:rsidRPr="004F76E5" w:rsidRDefault="00F9301F" w:rsidP="00F9301F">
      <w:pPr>
        <w:numPr>
          <w:ilvl w:val="0"/>
          <w:numId w:val="7"/>
        </w:numPr>
        <w:shd w:val="clear" w:color="auto" w:fill="FFFFFF"/>
        <w:spacing w:before="280" w:after="120" w:line="240" w:lineRule="auto"/>
        <w:ind w:left="1360"/>
        <w:jc w:val="both"/>
        <w:rPr>
          <w:rFonts w:ascii="Times New Roman" w:eastAsia="Times New Roman" w:hAnsi="Times New Roman" w:cs="Times New Roman"/>
          <w:b/>
          <w:bCs/>
          <w:i/>
          <w:iCs/>
          <w:color w:val="000000"/>
          <w:kern w:val="0"/>
          <w:lang w:eastAsia="it-IT"/>
          <w14:ligatures w14:val="none"/>
        </w:rPr>
      </w:pPr>
      <w:r w:rsidRPr="004F76E5">
        <w:rPr>
          <w:rFonts w:ascii="Times New Roman" w:eastAsia="Times New Roman" w:hAnsi="Times New Roman" w:cs="Times New Roman"/>
          <w:b/>
          <w:bCs/>
          <w:i/>
          <w:iCs/>
          <w:color w:val="000000"/>
          <w:kern w:val="0"/>
          <w:lang w:eastAsia="it-IT"/>
          <w14:ligatures w14:val="none"/>
        </w:rPr>
        <w:t>La valutazione della Corte</w:t>
      </w:r>
    </w:p>
    <w:p w14:paraId="1A4C5A0E"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104</w:t>
      </w:r>
      <w:r w:rsidRPr="004F76E5">
        <w:rPr>
          <w:rFonts w:ascii="Times New Roman" w:eastAsia="Times New Roman" w:hAnsi="Times New Roman" w:cs="Times New Roman"/>
          <w:color w:val="000000"/>
          <w:kern w:val="0"/>
          <w:lang w:eastAsia="it-IT"/>
          <w14:ligatures w14:val="none"/>
        </w:rPr>
        <w:t>. La Corte, facendo riferimento all'esame nei paragrafi 53 e 54 sopra citati, ribadisce di aver già respinto l'obiezione del Governo in relazione a questa questione (vedi paragrafo 55 sopra). Ne consegue che il presente reclamo non è né manifestamente infondato né inammissibile per altri motivi elencati nell'articolo 35 della Convenzione. Deve quindi essere dichiarato ammissibile.</w:t>
      </w:r>
    </w:p>
    <w:p w14:paraId="7E278108" w14:textId="2CD1918C" w:rsidR="00F9301F" w:rsidRPr="004F76E5" w:rsidRDefault="00F9301F" w:rsidP="00F9301F">
      <w:pPr>
        <w:shd w:val="clear" w:color="auto" w:fill="FFFFFF"/>
        <w:spacing w:before="280" w:after="240" w:line="240" w:lineRule="auto"/>
        <w:ind w:left="584" w:hanging="352"/>
        <w:jc w:val="both"/>
        <w:rPr>
          <w:rFonts w:ascii="Times New Roman" w:eastAsia="Times New Roman" w:hAnsi="Times New Roman" w:cs="Times New Roman"/>
          <w:color w:val="000000"/>
          <w:kern w:val="0"/>
          <w:lang w:eastAsia="it-IT"/>
          <w14:ligatures w14:val="none"/>
        </w:rPr>
      </w:pPr>
      <w:proofErr w:type="spellStart"/>
      <w:proofErr w:type="gramStart"/>
      <w:r w:rsidRPr="004F76E5">
        <w:rPr>
          <w:rFonts w:ascii="Times New Roman" w:eastAsia="Times New Roman" w:hAnsi="Times New Roman" w:cs="Times New Roman"/>
          <w:b/>
          <w:bCs/>
          <w:color w:val="000000"/>
          <w:kern w:val="0"/>
          <w:lang w:eastAsia="it-IT"/>
          <w14:ligatures w14:val="none"/>
        </w:rPr>
        <w:t>B.Merito</w:t>
      </w:r>
      <w:proofErr w:type="spellEnd"/>
      <w:proofErr w:type="gramEnd"/>
      <w:r w:rsidRPr="004F76E5">
        <w:rPr>
          <w:rFonts w:ascii="Times New Roman" w:eastAsia="Times New Roman" w:hAnsi="Times New Roman" w:cs="Times New Roman"/>
          <w:color w:val="000000"/>
          <w:kern w:val="0"/>
          <w:sz w:val="14"/>
          <w:szCs w:val="14"/>
          <w:lang w:eastAsia="it-IT"/>
          <w14:ligatures w14:val="none"/>
        </w:rPr>
        <w:t>   </w:t>
      </w:r>
    </w:p>
    <w:p w14:paraId="4C8E07B7" w14:textId="77777777" w:rsidR="00F9301F" w:rsidRPr="004F76E5" w:rsidRDefault="00F9301F" w:rsidP="00F9301F">
      <w:pPr>
        <w:shd w:val="clear" w:color="auto" w:fill="FFFFFF"/>
        <w:spacing w:after="120" w:line="240" w:lineRule="auto"/>
        <w:ind w:left="731" w:hanging="30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i/>
          <w:iCs/>
          <w:color w:val="000000"/>
          <w:kern w:val="0"/>
          <w:lang w:eastAsia="it-IT"/>
          <w14:ligatures w14:val="none"/>
        </w:rPr>
        <w:t>1.</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i/>
          <w:iCs/>
          <w:color w:val="000000"/>
          <w:kern w:val="0"/>
          <w:lang w:eastAsia="it-IT"/>
          <w14:ligatures w14:val="none"/>
        </w:rPr>
        <w:t>Osservazioni delle parti</w:t>
      </w:r>
      <w:r w:rsidRPr="004F76E5">
        <w:rPr>
          <w:rFonts w:ascii="Times New Roman" w:eastAsia="Times New Roman" w:hAnsi="Times New Roman" w:cs="Times New Roman"/>
          <w:color w:val="000000"/>
          <w:kern w:val="0"/>
          <w:sz w:val="14"/>
          <w:szCs w:val="14"/>
          <w:lang w:eastAsia="it-IT"/>
          <w14:ligatures w14:val="none"/>
        </w:rPr>
        <w:t>  </w:t>
      </w:r>
    </w:p>
    <w:p w14:paraId="7FCAE266" w14:textId="77777777" w:rsidR="00F9301F" w:rsidRPr="004F76E5" w:rsidRDefault="00F9301F" w:rsidP="00F9301F">
      <w:pPr>
        <w:shd w:val="clear" w:color="auto" w:fill="FFFFFF"/>
        <w:spacing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I richiedenti</w:t>
      </w:r>
      <w:r w:rsidRPr="004F76E5">
        <w:rPr>
          <w:rFonts w:ascii="Times New Roman" w:eastAsia="Times New Roman" w:hAnsi="Times New Roman" w:cs="Times New Roman"/>
          <w:color w:val="000000"/>
          <w:kern w:val="0"/>
          <w:sz w:val="14"/>
          <w:szCs w:val="14"/>
          <w:lang w:eastAsia="it-IT"/>
          <w14:ligatures w14:val="none"/>
        </w:rPr>
        <w:t>  </w:t>
      </w:r>
    </w:p>
    <w:p w14:paraId="255C6AFA" w14:textId="722188E8"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105. </w:t>
      </w:r>
      <w:r w:rsidRPr="004F76E5">
        <w:rPr>
          <w:rFonts w:ascii="Times New Roman" w:eastAsia="Times New Roman" w:hAnsi="Times New Roman" w:cs="Times New Roman"/>
          <w:color w:val="000000"/>
          <w:kern w:val="0"/>
          <w:lang w:eastAsia="it-IT"/>
          <w14:ligatures w14:val="none"/>
        </w:rPr>
        <w:t xml:space="preserve">I richiedenti hanno criticato l'inazione del Tribunale per i Minori nel procedimento di custodia, sottolineando che, nonostante le richieste inizialmente presentate dal primo richiedente (vedi paragrafo 18 sopra) e le successive richieste urgenti presentate (vedi paragrafi 29 e 31 sopra), non era stata emessa alcuna decisione definitiva per un periodo superiore a tre anni (vedi paragrafo 35 sopra). A tal proposito, sottolinearono che la richiesta di revoca della responsabilità genitoriale del GP era stata esaminata più di tre anni dopo che il primo richiedente aveva presentato la richiesta, mentre le ulteriori richieste presentate – riguardanti l'affidamento esclusivo del secondo e terzo </w:t>
      </w:r>
      <w:r w:rsidRPr="004F76E5">
        <w:rPr>
          <w:rFonts w:ascii="Times New Roman" w:eastAsia="Times New Roman" w:hAnsi="Times New Roman" w:cs="Times New Roman"/>
          <w:color w:val="000000"/>
          <w:kern w:val="0"/>
          <w:lang w:eastAsia="it-IT"/>
          <w14:ligatures w14:val="none"/>
        </w:rPr>
        <w:lastRenderedPageBreak/>
        <w:t>richiedente a favore del primo, l'autorizzazione al trasferimento in Francia e la determinazione del mantenimento dei minori – non erano state affrontate dal Tribunale dei minori (vedi paragrafo 35 sopra). Il Tribunale Minorile aveva semplicemente rinviato il procedimento senza adottare misure efficaci o esaminare tutte le richieste presentate, lasciandole in uno stato di incertezza legale, psicologica e materiale.</w:t>
      </w:r>
    </w:p>
    <w:p w14:paraId="6580BF7A" w14:textId="3846AD45"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106</w:t>
      </w:r>
      <w:r w:rsidRPr="004F76E5">
        <w:rPr>
          <w:rFonts w:ascii="Times New Roman" w:eastAsia="Times New Roman" w:hAnsi="Times New Roman" w:cs="Times New Roman"/>
          <w:color w:val="000000"/>
          <w:kern w:val="0"/>
          <w:lang w:eastAsia="it-IT"/>
          <w14:ligatures w14:val="none"/>
        </w:rPr>
        <w:t xml:space="preserve">. I richiedenti hanno insistito che il loro ricovero nel rifugio per quasi tre anni non era stato giustificato. Hanno anche sostenuto che la loro situazione era stata sottovalutata e hanno dichiarato di non aver avuto altra scelta che rimanere nel rifugio. Inoltre, hanno sostenuto che il Tribunale per i minori, sebbene fosse stato avvertito dai servizi sociali già a maggio 2022 sulle condizioni psicofisiche dei minori dovute agli incontri con il </w:t>
      </w:r>
      <w:r w:rsidR="00A94CD5" w:rsidRPr="004F76E5">
        <w:rPr>
          <w:rFonts w:ascii="Times New Roman" w:eastAsia="Times New Roman" w:hAnsi="Times New Roman" w:cs="Times New Roman"/>
          <w:color w:val="000000"/>
          <w:kern w:val="0"/>
          <w:lang w:eastAsia="it-IT"/>
          <w14:ligatures w14:val="none"/>
        </w:rPr>
        <w:t xml:space="preserve">GP </w:t>
      </w:r>
      <w:r w:rsidRPr="004F76E5">
        <w:rPr>
          <w:rFonts w:ascii="Times New Roman" w:eastAsia="Times New Roman" w:hAnsi="Times New Roman" w:cs="Times New Roman"/>
          <w:color w:val="000000"/>
          <w:kern w:val="0"/>
          <w:lang w:eastAsia="it-IT"/>
          <w14:ligatures w14:val="none"/>
        </w:rPr>
        <w:t xml:space="preserve">e al soggiorno nel rifugio (vedi paragrafi 21 e 22 sopra), era intervenuto solo nel giugno 2022. Tuttavia, si era limitata a sospendere </w:t>
      </w:r>
      <w:r w:rsidR="00A94CD5" w:rsidRPr="004F76E5">
        <w:rPr>
          <w:rFonts w:ascii="Times New Roman" w:eastAsia="Times New Roman" w:hAnsi="Times New Roman" w:cs="Times New Roman"/>
          <w:color w:val="000000"/>
          <w:kern w:val="0"/>
          <w:lang w:eastAsia="it-IT"/>
          <w14:ligatures w14:val="none"/>
        </w:rPr>
        <w:t xml:space="preserve">gli incontri </w:t>
      </w:r>
      <w:r w:rsidRPr="004F76E5">
        <w:rPr>
          <w:rFonts w:ascii="Times New Roman" w:eastAsia="Times New Roman" w:hAnsi="Times New Roman" w:cs="Times New Roman"/>
          <w:color w:val="000000"/>
          <w:kern w:val="0"/>
          <w:lang w:eastAsia="it-IT"/>
          <w14:ligatures w14:val="none"/>
        </w:rPr>
        <w:t xml:space="preserve">e l'autorità genitoriale del G.P. (vedi paragrafo 23 sopra), confermato l'inserimento dei bambini nel rifugio e autorizzato la madre a rimanere lì per motivi di benessere. Hanno quindi sottolineato che le misure erano state inadeguate in considerazione della necessità di proteggere il benessere psicologico e fisico dei bambini e che, nonostante le numerose richieste contenute nei rapporti successivi, le misure finali erano state adottate solo due anni dopo (vedi paragrafo 35 sopra). Hanno sottolineato che ciò ha avuto un impatto significativo sulla loro libertà a causa delle regole operative del rifugio, in particolare il confinamento in una stanza di 15 metri quadrati, l'obbligo di rispettare il coprifuoco giornaliero e il divieto di uscire la domenica pomeriggio. Hanno specificato che le gravi conseguenze che il soggiorno nel rifugio aveva avuto sui due bambini erano state evidenziate in numerosi rapporti del personale del rifugio, dei servizi sociali e dello psicologo (vedi paragrafo 27 sopra). Hanno aggiunto che in quegli stessi rapporti era stato chiarito che il secondo e il terzo richiedente avevano rifiutato di continuare gli incontri supervisionati con il padre, ma, nonostante ciò, il Tribunale </w:t>
      </w:r>
      <w:r w:rsidR="001B5FC3" w:rsidRPr="004F76E5">
        <w:rPr>
          <w:rFonts w:ascii="Times New Roman" w:eastAsia="Times New Roman" w:hAnsi="Times New Roman" w:cs="Times New Roman"/>
          <w:color w:val="000000"/>
          <w:kern w:val="0"/>
          <w:lang w:eastAsia="it-IT"/>
          <w14:ligatures w14:val="none"/>
        </w:rPr>
        <w:t xml:space="preserve">per i </w:t>
      </w:r>
      <w:r w:rsidRPr="004F76E5">
        <w:rPr>
          <w:rFonts w:ascii="Times New Roman" w:eastAsia="Times New Roman" w:hAnsi="Times New Roman" w:cs="Times New Roman"/>
          <w:color w:val="000000"/>
          <w:kern w:val="0"/>
          <w:lang w:eastAsia="it-IT"/>
          <w14:ligatures w14:val="none"/>
        </w:rPr>
        <w:t>Minori non aveva adottato alcuna misura protettiva. Hanno sottolineato che quella situazione ha portato a una vittimizzazione secondaria continua, danni psicologici e uno stato persistente di paura e insicurezza causato dalla mancanza di misure a loro favore.</w:t>
      </w:r>
    </w:p>
    <w:p w14:paraId="173E902D" w14:textId="77777777" w:rsidR="00F9301F" w:rsidRPr="004F76E5" w:rsidRDefault="00F9301F" w:rsidP="00F9301F">
      <w:pPr>
        <w:shd w:val="clear" w:color="auto" w:fill="FFFFFF"/>
        <w:spacing w:before="280"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(b)</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Il Governo</w:t>
      </w:r>
      <w:r w:rsidRPr="004F76E5">
        <w:rPr>
          <w:rFonts w:ascii="Times New Roman" w:eastAsia="Times New Roman" w:hAnsi="Times New Roman" w:cs="Times New Roman"/>
          <w:color w:val="000000"/>
          <w:kern w:val="0"/>
          <w:sz w:val="14"/>
          <w:szCs w:val="14"/>
          <w:lang w:eastAsia="it-IT"/>
          <w14:ligatures w14:val="none"/>
        </w:rPr>
        <w:t>  </w:t>
      </w:r>
    </w:p>
    <w:p w14:paraId="562DD48E" w14:textId="4A0B7C76"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107</w:t>
      </w:r>
      <w:r w:rsidRPr="004F76E5">
        <w:rPr>
          <w:rFonts w:ascii="Times New Roman" w:eastAsia="Times New Roman" w:hAnsi="Times New Roman" w:cs="Times New Roman"/>
          <w:color w:val="000000"/>
          <w:kern w:val="0"/>
          <w:lang w:eastAsia="it-IT"/>
          <w14:ligatures w14:val="none"/>
        </w:rPr>
        <w:t xml:space="preserve">. Il Governo ha sottolineato che il Tribunale Minorile ha agito con prontezza e diligenza. Hanno sottolineato che durante la prima parte del procedimento le autorità avevano cercato di ristabilire un rapporto genitoriale tra i bambini e il </w:t>
      </w:r>
      <w:r w:rsidR="00CA264E" w:rsidRPr="004F76E5">
        <w:rPr>
          <w:rFonts w:ascii="Times New Roman" w:eastAsia="Times New Roman" w:hAnsi="Times New Roman" w:cs="Times New Roman"/>
          <w:color w:val="000000"/>
          <w:kern w:val="0"/>
          <w:lang w:eastAsia="it-IT"/>
          <w14:ligatures w14:val="none"/>
        </w:rPr>
        <w:t>GP</w:t>
      </w:r>
      <w:r w:rsidRPr="004F76E5">
        <w:rPr>
          <w:rFonts w:ascii="Times New Roman" w:eastAsia="Times New Roman" w:hAnsi="Times New Roman" w:cs="Times New Roman"/>
          <w:color w:val="000000"/>
          <w:kern w:val="0"/>
          <w:lang w:eastAsia="it-IT"/>
          <w14:ligatures w14:val="none"/>
        </w:rPr>
        <w:t xml:space="preserve">, una misura che, sebbene intrinsecamente complessa, era essenziale per permettere allo Stato di adempiere al suo obbligo positivo di prevenire la rottura ingiustificata di un rapporto familiare. Su questo punto il Governo ha sottolineato che i tribunali nazionali avevano esaminato correttamente e a fondo i fatti rilevanti, i rapporti degli esperti e i cambiamenti comportamentali del padre, e avevano deciso, in tempi </w:t>
      </w:r>
      <w:proofErr w:type="spellStart"/>
      <w:r w:rsidRPr="004F76E5">
        <w:rPr>
          <w:rFonts w:ascii="Times New Roman" w:eastAsia="Times New Roman" w:hAnsi="Times New Roman" w:cs="Times New Roman"/>
          <w:color w:val="000000"/>
          <w:kern w:val="0"/>
          <w:lang w:eastAsia="it-IT"/>
          <w14:ligatures w14:val="none"/>
        </w:rPr>
        <w:t>tempi</w:t>
      </w:r>
      <w:proofErr w:type="spellEnd"/>
      <w:r w:rsidRPr="004F76E5">
        <w:rPr>
          <w:rFonts w:ascii="Times New Roman" w:eastAsia="Times New Roman" w:hAnsi="Times New Roman" w:cs="Times New Roman"/>
          <w:color w:val="000000"/>
          <w:kern w:val="0"/>
          <w:lang w:eastAsia="it-IT"/>
          <w14:ligatures w14:val="none"/>
        </w:rPr>
        <w:t xml:space="preserve">, di </w:t>
      </w:r>
      <w:r w:rsidR="00CA264E" w:rsidRPr="004F76E5">
        <w:rPr>
          <w:rFonts w:ascii="Times New Roman" w:eastAsia="Times New Roman" w:hAnsi="Times New Roman" w:cs="Times New Roman"/>
          <w:color w:val="000000"/>
          <w:kern w:val="0"/>
          <w:lang w:eastAsia="it-IT"/>
          <w14:ligatures w14:val="none"/>
        </w:rPr>
        <w:t xml:space="preserve">sospendere </w:t>
      </w:r>
      <w:r w:rsidRPr="004F76E5">
        <w:rPr>
          <w:rFonts w:ascii="Times New Roman" w:eastAsia="Times New Roman" w:hAnsi="Times New Roman" w:cs="Times New Roman"/>
          <w:color w:val="000000"/>
          <w:kern w:val="0"/>
          <w:lang w:eastAsia="it-IT"/>
          <w14:ligatures w14:val="none"/>
        </w:rPr>
        <w:t>la sua responsabilità genitoriale solo quando era stato pienamente accertato che i legami dei figli con il padre non potevano essere mantenuti, in accordo con il superiore interesse dei bambini.</w:t>
      </w:r>
    </w:p>
    <w:p w14:paraId="1DEBC1D8" w14:textId="77777777" w:rsidR="00CA264E" w:rsidRPr="004F76E5" w:rsidRDefault="00CA264E" w:rsidP="00F9301F">
      <w:pPr>
        <w:shd w:val="clear" w:color="auto" w:fill="FFFFFF"/>
        <w:spacing w:before="280" w:after="120" w:line="240" w:lineRule="auto"/>
        <w:ind w:left="731" w:hanging="300"/>
        <w:jc w:val="both"/>
        <w:rPr>
          <w:rFonts w:ascii="Times New Roman" w:eastAsia="Times New Roman" w:hAnsi="Times New Roman" w:cs="Times New Roman"/>
          <w:i/>
          <w:iCs/>
          <w:color w:val="000000"/>
          <w:kern w:val="0"/>
          <w:lang w:eastAsia="it-IT"/>
          <w14:ligatures w14:val="none"/>
        </w:rPr>
      </w:pPr>
    </w:p>
    <w:p w14:paraId="37402CFE" w14:textId="35B28D84" w:rsidR="00F9301F" w:rsidRPr="004F76E5" w:rsidRDefault="00F9301F" w:rsidP="00F9301F">
      <w:pPr>
        <w:shd w:val="clear" w:color="auto" w:fill="FFFFFF"/>
        <w:spacing w:before="280" w:after="120" w:line="240" w:lineRule="auto"/>
        <w:ind w:left="731" w:hanging="30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i/>
          <w:iCs/>
          <w:color w:val="000000"/>
          <w:kern w:val="0"/>
          <w:lang w:eastAsia="it-IT"/>
          <w14:ligatures w14:val="none"/>
        </w:rPr>
        <w:t>2</w:t>
      </w:r>
      <w:r w:rsidRPr="004F76E5">
        <w:rPr>
          <w:rFonts w:ascii="Times New Roman" w:eastAsia="Times New Roman" w:hAnsi="Times New Roman" w:cs="Times New Roman"/>
          <w:b/>
          <w:bCs/>
          <w:i/>
          <w:iCs/>
          <w:color w:val="000000"/>
          <w:kern w:val="0"/>
          <w:lang w:eastAsia="it-IT"/>
          <w14:ligatures w14:val="none"/>
        </w:rPr>
        <w:t>.</w:t>
      </w:r>
      <w:r w:rsidRPr="004F76E5">
        <w:rPr>
          <w:rFonts w:ascii="Times New Roman" w:eastAsia="Times New Roman" w:hAnsi="Times New Roman" w:cs="Times New Roman"/>
          <w:b/>
          <w:bCs/>
          <w:color w:val="000000"/>
          <w:kern w:val="0"/>
          <w:lang w:eastAsia="it-IT"/>
          <w14:ligatures w14:val="none"/>
        </w:rPr>
        <w:t> </w:t>
      </w:r>
      <w:r w:rsidRPr="004F76E5">
        <w:rPr>
          <w:rFonts w:ascii="Times New Roman" w:eastAsia="Times New Roman" w:hAnsi="Times New Roman" w:cs="Times New Roman"/>
          <w:b/>
          <w:bCs/>
          <w:i/>
          <w:iCs/>
          <w:color w:val="000000"/>
          <w:kern w:val="0"/>
          <w:lang w:eastAsia="it-IT"/>
          <w14:ligatures w14:val="none"/>
        </w:rPr>
        <w:t>La valutazione della Corte</w:t>
      </w:r>
      <w:r w:rsidRPr="004F76E5">
        <w:rPr>
          <w:rFonts w:ascii="Times New Roman" w:eastAsia="Times New Roman" w:hAnsi="Times New Roman" w:cs="Times New Roman"/>
          <w:color w:val="000000"/>
          <w:kern w:val="0"/>
          <w:sz w:val="14"/>
          <w:szCs w:val="14"/>
          <w:lang w:eastAsia="it-IT"/>
          <w14:ligatures w14:val="none"/>
        </w:rPr>
        <w:t>  </w:t>
      </w:r>
    </w:p>
    <w:p w14:paraId="340AEB35" w14:textId="77777777" w:rsidR="00F9301F" w:rsidRPr="004F76E5" w:rsidRDefault="00F9301F" w:rsidP="00F9301F">
      <w:pPr>
        <w:shd w:val="clear" w:color="auto" w:fill="FFFFFF"/>
        <w:spacing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(a)</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Principi generali</w:t>
      </w:r>
      <w:r w:rsidRPr="004F76E5">
        <w:rPr>
          <w:rFonts w:ascii="Times New Roman" w:eastAsia="Times New Roman" w:hAnsi="Times New Roman" w:cs="Times New Roman"/>
          <w:color w:val="000000"/>
          <w:kern w:val="0"/>
          <w:sz w:val="14"/>
          <w:szCs w:val="14"/>
          <w:lang w:eastAsia="it-IT"/>
          <w14:ligatures w14:val="none"/>
        </w:rPr>
        <w:t>  </w:t>
      </w:r>
    </w:p>
    <w:p w14:paraId="21EE2F6A"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108.</w:t>
      </w:r>
      <w:r w:rsidRPr="004F76E5">
        <w:rPr>
          <w:rFonts w:ascii="Times New Roman" w:eastAsia="Times New Roman" w:hAnsi="Times New Roman" w:cs="Times New Roman"/>
          <w:color w:val="000000"/>
          <w:kern w:val="0"/>
          <w:lang w:eastAsia="it-IT"/>
          <w14:ligatures w14:val="none"/>
        </w:rPr>
        <w:t xml:space="preserve"> La Corte ribadisce che, sebbene l'obiettivo principale dell'Articolo 8 sia proteggere l'individuo da azioni arbitrarie da parte delle autorità pubbliche, vi sono inoltre obblighi positivi insiti nel "rispetto" effettivo per la vita familiare. Quando le misure in questione riguardano controversie genitoriali sui loro figli, tuttavia, non spetta alla Corte sostituirsi alle autorità competenti nel regolamentare le questioni di contatto, ma piuttosto riesaminare ai sensi della Convenzione le decisioni che tali autorità hanno preso nell'esercizio del loro potere di apprezzamento. In tal procedenza, deve determinare se le ragioni che giustificano qualsiasi misura adottata riguardo al </w:t>
      </w:r>
      <w:r w:rsidRPr="004F76E5">
        <w:rPr>
          <w:rFonts w:ascii="Times New Roman" w:eastAsia="Times New Roman" w:hAnsi="Times New Roman" w:cs="Times New Roman"/>
          <w:color w:val="000000"/>
          <w:kern w:val="0"/>
          <w:lang w:eastAsia="it-IT"/>
          <w14:ligatures w14:val="none"/>
        </w:rPr>
        <w:lastRenderedPageBreak/>
        <w:t>godimento del diritto di un richiedente al rispetto della vita familiare siano rilevanti e sufficienti (vedi, tra le altre autorità, </w:t>
      </w:r>
      <w:bookmarkStart w:id="58" w:name="_cl26598THELAW"/>
      <w:r w:rsidRPr="004F76E5">
        <w:rPr>
          <w:rFonts w:ascii="Times New Roman" w:eastAsia="Times New Roman" w:hAnsi="Times New Roman" w:cs="Times New Roman"/>
          <w:i/>
          <w:iCs/>
          <w:color w:val="000000"/>
          <w:kern w:val="0"/>
          <w:lang w:eastAsia="it-IT"/>
          <w14:ligatures w14:val="none"/>
        </w:rPr>
        <w:t>Glaser v. il Regno Unito</w:t>
      </w:r>
      <w:bookmarkEnd w:id="58"/>
      <w:r w:rsidRPr="004F76E5">
        <w:rPr>
          <w:rFonts w:ascii="Times New Roman" w:eastAsia="Times New Roman" w:hAnsi="Times New Roman" w:cs="Times New Roman"/>
          <w:color w:val="000000"/>
          <w:kern w:val="0"/>
          <w:lang w:eastAsia="it-IT"/>
          <w14:ligatures w14:val="none"/>
        </w:rPr>
        <w:t>, no. </w:t>
      </w:r>
      <w:hyperlink r:id="rId42" w:anchor="{%22appno%22:[%2232346/96%22]}" w:tgtFrame="_blank" w:history="1">
        <w:r w:rsidRPr="004F76E5">
          <w:rPr>
            <w:rFonts w:ascii="Times New Roman" w:eastAsia="Times New Roman" w:hAnsi="Times New Roman" w:cs="Times New Roman"/>
            <w:color w:val="0069D6"/>
            <w:kern w:val="0"/>
            <w:u w:val="single"/>
            <w:lang w:eastAsia="it-IT"/>
            <w14:ligatures w14:val="none"/>
          </w:rPr>
          <w:t>32346/96</w:t>
        </w:r>
      </w:hyperlink>
      <w:r w:rsidRPr="004F76E5">
        <w:rPr>
          <w:rFonts w:ascii="Times New Roman" w:eastAsia="Times New Roman" w:hAnsi="Times New Roman" w:cs="Times New Roman"/>
          <w:color w:val="000000"/>
          <w:kern w:val="0"/>
          <w:lang w:eastAsia="it-IT"/>
          <w14:ligatures w14:val="none"/>
        </w:rPr>
        <w:t>, §§ 63-64, 19 settembre 2000).</w:t>
      </w:r>
    </w:p>
    <w:p w14:paraId="499DC335"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109.</w:t>
      </w:r>
      <w:r w:rsidRPr="004F76E5">
        <w:rPr>
          <w:rFonts w:ascii="Times New Roman" w:eastAsia="Times New Roman" w:hAnsi="Times New Roman" w:cs="Times New Roman"/>
          <w:color w:val="000000"/>
          <w:kern w:val="0"/>
          <w:lang w:eastAsia="it-IT"/>
          <w14:ligatures w14:val="none"/>
        </w:rPr>
        <w:t> La Corte sottolinea che una conduzione inefficace, e in particolare ritardata, delle procedure di custodia può dare luogo a una violazione degli obblighi positivi ai sensi dell'Articolo 8 della Convenzione (vedi </w:t>
      </w:r>
      <w:r w:rsidRPr="004F76E5">
        <w:rPr>
          <w:rFonts w:ascii="Times New Roman" w:eastAsia="Times New Roman" w:hAnsi="Times New Roman" w:cs="Times New Roman"/>
          <w:i/>
          <w:iCs/>
          <w:color w:val="000000"/>
          <w:kern w:val="0"/>
          <w:lang w:eastAsia="it-IT"/>
          <w14:ligatures w14:val="none"/>
        </w:rPr>
        <w:t>M. e M. contro Croazia</w:t>
      </w:r>
      <w:r w:rsidRPr="004F76E5">
        <w:rPr>
          <w:rFonts w:ascii="Times New Roman" w:eastAsia="Times New Roman" w:hAnsi="Times New Roman" w:cs="Times New Roman"/>
          <w:color w:val="000000"/>
          <w:kern w:val="0"/>
          <w:lang w:eastAsia="it-IT"/>
          <w14:ligatures w14:val="none"/>
        </w:rPr>
        <w:t>, no. </w:t>
      </w:r>
      <w:hyperlink r:id="rId43" w:anchor="{%22appno%22:[%2210161/13%22]}" w:tgtFrame="_blank" w:history="1">
        <w:r w:rsidRPr="004F76E5">
          <w:rPr>
            <w:rFonts w:ascii="Times New Roman" w:eastAsia="Times New Roman" w:hAnsi="Times New Roman" w:cs="Times New Roman"/>
            <w:color w:val="0069D6"/>
            <w:kern w:val="0"/>
            <w:u w:val="single"/>
            <w:lang w:eastAsia="it-IT"/>
            <w14:ligatures w14:val="none"/>
          </w:rPr>
          <w:t>10161/13</w:t>
        </w:r>
      </w:hyperlink>
      <w:r w:rsidRPr="004F76E5">
        <w:rPr>
          <w:rFonts w:ascii="Times New Roman" w:eastAsia="Times New Roman" w:hAnsi="Times New Roman" w:cs="Times New Roman"/>
          <w:color w:val="000000"/>
          <w:kern w:val="0"/>
          <w:lang w:eastAsia="it-IT"/>
          <w14:ligatures w14:val="none"/>
        </w:rPr>
        <w:t>, § 179, CEDU 2015 (estratti)). Inoltre, la Corte, ribadendo i principi stabiliti nella sua giurisprudenza (vedi </w:t>
      </w:r>
      <w:proofErr w:type="spellStart"/>
      <w:r w:rsidRPr="004F76E5">
        <w:rPr>
          <w:rFonts w:ascii="Times New Roman" w:eastAsia="Times New Roman" w:hAnsi="Times New Roman" w:cs="Times New Roman"/>
          <w:i/>
          <w:iCs/>
          <w:color w:val="000000"/>
          <w:kern w:val="0"/>
          <w:lang w:eastAsia="it-IT"/>
          <w14:ligatures w14:val="none"/>
        </w:rPr>
        <w:t>Barnea</w:t>
      </w:r>
      <w:proofErr w:type="spellEnd"/>
      <w:r w:rsidRPr="004F76E5">
        <w:rPr>
          <w:rFonts w:ascii="Times New Roman" w:eastAsia="Times New Roman" w:hAnsi="Times New Roman" w:cs="Times New Roman"/>
          <w:i/>
          <w:iCs/>
          <w:color w:val="000000"/>
          <w:kern w:val="0"/>
          <w:lang w:eastAsia="it-IT"/>
          <w14:ligatures w14:val="none"/>
        </w:rPr>
        <w:t xml:space="preserve"> e </w:t>
      </w:r>
      <w:proofErr w:type="spellStart"/>
      <w:r w:rsidRPr="004F76E5">
        <w:rPr>
          <w:rFonts w:ascii="Times New Roman" w:eastAsia="Times New Roman" w:hAnsi="Times New Roman" w:cs="Times New Roman"/>
          <w:i/>
          <w:iCs/>
          <w:color w:val="000000"/>
          <w:kern w:val="0"/>
          <w:lang w:eastAsia="it-IT"/>
          <w14:ligatures w14:val="none"/>
        </w:rPr>
        <w:t>Caldararu</w:t>
      </w:r>
      <w:proofErr w:type="spellEnd"/>
      <w:r w:rsidRPr="004F76E5">
        <w:rPr>
          <w:rFonts w:ascii="Times New Roman" w:eastAsia="Times New Roman" w:hAnsi="Times New Roman" w:cs="Times New Roman"/>
          <w:i/>
          <w:iCs/>
          <w:color w:val="000000"/>
          <w:kern w:val="0"/>
          <w:lang w:eastAsia="it-IT"/>
          <w14:ligatures w14:val="none"/>
        </w:rPr>
        <w:t xml:space="preserve"> contro Italia</w:t>
      </w:r>
      <w:r w:rsidRPr="004F76E5">
        <w:rPr>
          <w:rFonts w:ascii="Times New Roman" w:eastAsia="Times New Roman" w:hAnsi="Times New Roman" w:cs="Times New Roman"/>
          <w:color w:val="000000"/>
          <w:kern w:val="0"/>
          <w:lang w:eastAsia="it-IT"/>
          <w14:ligatures w14:val="none"/>
        </w:rPr>
        <w:t>, no. </w:t>
      </w:r>
      <w:hyperlink r:id="rId44" w:anchor="{%22appno%22:[%2237931/15%22]}" w:tgtFrame="_blank" w:history="1">
        <w:r w:rsidRPr="004F76E5">
          <w:rPr>
            <w:rFonts w:ascii="Times New Roman" w:eastAsia="Times New Roman" w:hAnsi="Times New Roman" w:cs="Times New Roman"/>
            <w:color w:val="0069D6"/>
            <w:kern w:val="0"/>
            <w:u w:val="single"/>
            <w:lang w:eastAsia="it-IT"/>
            <w14:ligatures w14:val="none"/>
          </w:rPr>
          <w:t>37931/15</w:t>
        </w:r>
      </w:hyperlink>
      <w:r w:rsidRPr="004F76E5">
        <w:rPr>
          <w:rFonts w:ascii="Times New Roman" w:eastAsia="Times New Roman" w:hAnsi="Times New Roman" w:cs="Times New Roman"/>
          <w:color w:val="000000"/>
          <w:kern w:val="0"/>
          <w:lang w:eastAsia="it-IT"/>
          <w14:ligatures w14:val="none"/>
        </w:rPr>
        <w:t>, §§ 63-65, 22 giugno 2017, e </w:t>
      </w:r>
      <w:r w:rsidRPr="004F76E5">
        <w:rPr>
          <w:rFonts w:ascii="Times New Roman" w:eastAsia="Times New Roman" w:hAnsi="Times New Roman" w:cs="Times New Roman"/>
          <w:i/>
          <w:iCs/>
          <w:color w:val="000000"/>
          <w:kern w:val="0"/>
          <w:lang w:eastAsia="it-IT"/>
          <w14:ligatures w14:val="none"/>
        </w:rPr>
        <w:t>I.M. e altri contro Italia</w:t>
      </w:r>
      <w:r w:rsidRPr="004F76E5">
        <w:rPr>
          <w:rFonts w:ascii="Times New Roman" w:eastAsia="Times New Roman" w:hAnsi="Times New Roman" w:cs="Times New Roman"/>
          <w:color w:val="000000"/>
          <w:kern w:val="0"/>
          <w:lang w:eastAsia="it-IT"/>
          <w14:ligatures w14:val="none"/>
        </w:rPr>
        <w:t>, no. </w:t>
      </w:r>
      <w:hyperlink r:id="rId45" w:anchor="{%22appno%22:[%2225426/20%22]}" w:tgtFrame="_blank" w:history="1">
        <w:r w:rsidRPr="004F76E5">
          <w:rPr>
            <w:rFonts w:ascii="Times New Roman" w:eastAsia="Times New Roman" w:hAnsi="Times New Roman" w:cs="Times New Roman"/>
            <w:color w:val="0069D6"/>
            <w:kern w:val="0"/>
            <w:u w:val="single"/>
            <w:lang w:eastAsia="it-IT"/>
            <w14:ligatures w14:val="none"/>
          </w:rPr>
          <w:t>25426/20</w:t>
        </w:r>
      </w:hyperlink>
      <w:r w:rsidRPr="004F76E5">
        <w:rPr>
          <w:rFonts w:ascii="Times New Roman" w:eastAsia="Times New Roman" w:hAnsi="Times New Roman" w:cs="Times New Roman"/>
          <w:color w:val="000000"/>
          <w:kern w:val="0"/>
          <w:lang w:eastAsia="it-IT"/>
          <w14:ligatures w14:val="none"/>
        </w:rPr>
        <w:t>, §§ 104-11, 10 novembre 2022), osserva che, sebbene l'articolo 8 della Convenzione non contenga requisiti procedurali espliciti, il processo decisionale deve essere equo e tale da garantire il dovuto rispetto degli interessi tutelati dall'articolo 8. I tribunali nazionali devono condurre un esame approfondito dell'intera situazione familiare e di una serie di fattori, in particolare quelli di natura fattuale, emotiva, psicologica, materiale e medica, e fare una valutazione equilibrata e ragionevole degli interessi rispettivi di ciascuna persona, con una costante attenzione a determinare quale sia la soluzione migliore per il minore, poiché questa considerazione è in ogni caso di cruciale importanza. Il margine di apprezzamento da concedere alle autorità nazionali competenti varierà in base alla natura delle questioni e all'importanza degli interessi in gioco (vedi </w:t>
      </w:r>
      <w:r w:rsidRPr="004F76E5">
        <w:rPr>
          <w:rFonts w:ascii="Times New Roman" w:eastAsia="Times New Roman" w:hAnsi="Times New Roman" w:cs="Times New Roman"/>
          <w:i/>
          <w:iCs/>
          <w:color w:val="000000"/>
          <w:kern w:val="0"/>
          <w:lang w:eastAsia="it-IT"/>
          <w14:ligatures w14:val="none"/>
        </w:rPr>
        <w:t>I.M. e altri contro Italia</w:t>
      </w:r>
      <w:r w:rsidRPr="004F76E5">
        <w:rPr>
          <w:rFonts w:ascii="Times New Roman" w:eastAsia="Times New Roman" w:hAnsi="Times New Roman" w:cs="Times New Roman"/>
          <w:color w:val="000000"/>
          <w:kern w:val="0"/>
          <w:lang w:eastAsia="it-IT"/>
          <w14:ligatures w14:val="none"/>
        </w:rPr>
        <w:t>, § 108, citato sopra, e</w:t>
      </w:r>
      <w:bookmarkStart w:id="59" w:name="_cl34077THELAW"/>
      <w:r w:rsidRPr="004F76E5">
        <w:rPr>
          <w:rFonts w:ascii="Times New Roman" w:eastAsia="Times New Roman" w:hAnsi="Times New Roman" w:cs="Times New Roman"/>
          <w:i/>
          <w:iCs/>
          <w:color w:val="000000"/>
          <w:kern w:val="0"/>
          <w:lang w:eastAsia="it-IT"/>
          <w14:ligatures w14:val="none"/>
        </w:rPr>
        <w:t> Petrov e X contro Russia, </w:t>
      </w:r>
      <w:r w:rsidRPr="004F76E5">
        <w:rPr>
          <w:rFonts w:ascii="Times New Roman" w:eastAsia="Times New Roman" w:hAnsi="Times New Roman" w:cs="Times New Roman"/>
          <w:color w:val="000000"/>
          <w:kern w:val="0"/>
          <w:lang w:eastAsia="it-IT"/>
          <w14:ligatures w14:val="none"/>
        </w:rPr>
        <w:t>n. 23608/16, §§ 98-102, 23 ottobre 2018</w:t>
      </w:r>
      <w:bookmarkEnd w:id="59"/>
      <w:r w:rsidRPr="004F76E5">
        <w:rPr>
          <w:rFonts w:ascii="Times New Roman" w:eastAsia="Times New Roman" w:hAnsi="Times New Roman" w:cs="Times New Roman"/>
          <w:color w:val="000000"/>
          <w:kern w:val="0"/>
          <w:lang w:eastAsia="it-IT"/>
          <w14:ligatures w14:val="none"/>
        </w:rPr>
        <w:t>).</w:t>
      </w:r>
    </w:p>
    <w:p w14:paraId="4456AFF4"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110.</w:t>
      </w:r>
      <w:r w:rsidRPr="004F76E5">
        <w:rPr>
          <w:rFonts w:ascii="Times New Roman" w:eastAsia="Times New Roman" w:hAnsi="Times New Roman" w:cs="Times New Roman"/>
          <w:color w:val="000000"/>
          <w:kern w:val="0"/>
          <w:lang w:eastAsia="it-IT"/>
          <w14:ligatures w14:val="none"/>
        </w:rPr>
        <w:t> La Corte ha ripetutamente stabilito che, nei casi riguardanti i diritti di contatto genitoriale, lo Stato ha in linea di principio l'obbligo di adottare misure per riunire i genitori con i loro figli, e l'obbligo di facilitare tali riunioni, nella misura in cui gli interessi del minore impongano che tutto ciò sia necessario per preservare i rapporti personali (vedi </w:t>
      </w:r>
      <w:r w:rsidRPr="004F76E5">
        <w:rPr>
          <w:rFonts w:ascii="Times New Roman" w:eastAsia="Times New Roman" w:hAnsi="Times New Roman" w:cs="Times New Roman"/>
          <w:i/>
          <w:iCs/>
          <w:color w:val="000000"/>
          <w:kern w:val="0"/>
          <w:lang w:eastAsia="it-IT"/>
          <w14:ligatures w14:val="none"/>
        </w:rPr>
        <w:t>A.I. contro Italia</w:t>
      </w:r>
      <w:r w:rsidRPr="004F76E5">
        <w:rPr>
          <w:rFonts w:ascii="Times New Roman" w:eastAsia="Times New Roman" w:hAnsi="Times New Roman" w:cs="Times New Roman"/>
          <w:color w:val="000000"/>
          <w:kern w:val="0"/>
          <w:lang w:eastAsia="it-IT"/>
          <w14:ligatures w14:val="none"/>
        </w:rPr>
        <w:t>, citato sopra, § 86). Attualmente esiste un ampio consenso a sostegno dell'idea che, in tutte le decisioni riguardanti i bambini, il loro interesse superiore debba essere primario (vedi </w:t>
      </w:r>
      <w:r w:rsidRPr="004F76E5">
        <w:rPr>
          <w:rFonts w:ascii="Times New Roman" w:eastAsia="Times New Roman" w:hAnsi="Times New Roman" w:cs="Times New Roman"/>
          <w:i/>
          <w:iCs/>
          <w:color w:val="000000"/>
          <w:kern w:val="0"/>
          <w:lang w:eastAsia="it-IT"/>
          <w14:ligatures w14:val="none"/>
        </w:rPr>
        <w:t>Luca, </w:t>
      </w:r>
      <w:r w:rsidRPr="004F76E5">
        <w:rPr>
          <w:rFonts w:ascii="Times New Roman" w:eastAsia="Times New Roman" w:hAnsi="Times New Roman" w:cs="Times New Roman"/>
          <w:color w:val="000000"/>
          <w:kern w:val="0"/>
          <w:lang w:eastAsia="it-IT"/>
          <w14:ligatures w14:val="none"/>
        </w:rPr>
        <w:t>citato sopra</w:t>
      </w:r>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 85</w:t>
      </w:r>
      <w:r w:rsidRPr="004F76E5">
        <w:rPr>
          <w:rFonts w:ascii="Times New Roman" w:eastAsia="Times New Roman" w:hAnsi="Times New Roman" w:cs="Times New Roman"/>
          <w:i/>
          <w:iCs/>
          <w:color w:val="000000"/>
          <w:kern w:val="0"/>
          <w:lang w:eastAsia="it-IT"/>
          <w14:ligatures w14:val="none"/>
        </w:rPr>
        <w:t>; e</w:t>
      </w:r>
      <w:bookmarkStart w:id="60" w:name="_cl35003THELAW"/>
      <w:r w:rsidRPr="004F76E5">
        <w:rPr>
          <w:rFonts w:ascii="Times New Roman" w:eastAsia="Times New Roman" w:hAnsi="Times New Roman" w:cs="Times New Roman"/>
          <w:i/>
          <w:iCs/>
          <w:color w:val="000000"/>
          <w:kern w:val="0"/>
          <w:lang w:eastAsia="it-IT"/>
          <w14:ligatures w14:val="none"/>
        </w:rPr>
        <w:t> </w:t>
      </w:r>
      <w:proofErr w:type="spellStart"/>
      <w:r w:rsidRPr="004F76E5">
        <w:rPr>
          <w:rFonts w:ascii="Times New Roman" w:eastAsia="Times New Roman" w:hAnsi="Times New Roman" w:cs="Times New Roman"/>
          <w:i/>
          <w:iCs/>
          <w:color w:val="000000"/>
          <w:kern w:val="0"/>
          <w:lang w:eastAsia="it-IT"/>
          <w14:ligatures w14:val="none"/>
        </w:rPr>
        <w:t>Ribić</w:t>
      </w:r>
      <w:proofErr w:type="spellEnd"/>
      <w:r w:rsidRPr="004F76E5">
        <w:rPr>
          <w:rFonts w:ascii="Times New Roman" w:eastAsia="Times New Roman" w:hAnsi="Times New Roman" w:cs="Times New Roman"/>
          <w:i/>
          <w:iCs/>
          <w:color w:val="000000"/>
          <w:kern w:val="0"/>
          <w:lang w:eastAsia="it-IT"/>
          <w14:ligatures w14:val="none"/>
        </w:rPr>
        <w:t xml:space="preserve"> contro Croazia, </w:t>
      </w:r>
      <w:r w:rsidRPr="004F76E5">
        <w:rPr>
          <w:rFonts w:ascii="Times New Roman" w:eastAsia="Times New Roman" w:hAnsi="Times New Roman" w:cs="Times New Roman"/>
          <w:color w:val="000000"/>
          <w:kern w:val="0"/>
          <w:lang w:eastAsia="it-IT"/>
          <w14:ligatures w14:val="none"/>
        </w:rPr>
        <w:t>n. 27148/12, § 94</w:t>
      </w:r>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2 aprile 2015</w:t>
      </w:r>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 xml:space="preserve">§ 94, con </w:t>
      </w:r>
      <w:proofErr w:type="spellStart"/>
      <w:r w:rsidRPr="004F76E5">
        <w:rPr>
          <w:rFonts w:ascii="Times New Roman" w:eastAsia="Times New Roman" w:hAnsi="Times New Roman" w:cs="Times New Roman"/>
          <w:color w:val="000000"/>
          <w:kern w:val="0"/>
          <w:lang w:eastAsia="it-IT"/>
          <w14:ligatures w14:val="none"/>
        </w:rPr>
        <w:t>pelliccia</w:t>
      </w:r>
      <w:bookmarkEnd w:id="60"/>
      <w:r w:rsidRPr="004F76E5">
        <w:rPr>
          <w:rFonts w:ascii="Times New Roman" w:eastAsia="Times New Roman" w:hAnsi="Times New Roman" w:cs="Times New Roman"/>
          <w:color w:val="000000"/>
          <w:kern w:val="0"/>
          <w:lang w:eastAsia="it-IT"/>
          <w14:ligatures w14:val="none"/>
        </w:rPr>
        <w:t>riferimenti</w:t>
      </w:r>
      <w:proofErr w:type="spellEnd"/>
      <w:r w:rsidRPr="004F76E5">
        <w:rPr>
          <w:rFonts w:ascii="Times New Roman" w:eastAsia="Times New Roman" w:hAnsi="Times New Roman" w:cs="Times New Roman"/>
          <w:color w:val="000000"/>
          <w:kern w:val="0"/>
          <w:lang w:eastAsia="it-IT"/>
          <w14:ligatures w14:val="none"/>
        </w:rPr>
        <w:t xml:space="preserve"> lì contenuti). Il superiore interesse del bambino può, a seconda della sua natura e serietà, prevalere su quello dei genitori. In particolare, un genitore non può avere il diritto, ai sensi dell'articolo 8, a ricevere misure tali che possano danneggiare la salute e lo sviluppo del bambino (</w:t>
      </w:r>
      <w:bookmarkStart w:id="61" w:name="_cl33204THELAW"/>
      <w:r w:rsidRPr="004F76E5">
        <w:rPr>
          <w:rFonts w:ascii="Times New Roman" w:eastAsia="Times New Roman" w:hAnsi="Times New Roman" w:cs="Times New Roman"/>
          <w:color w:val="000000"/>
          <w:kern w:val="0"/>
          <w:lang w:eastAsia="it-IT"/>
          <w14:ligatures w14:val="none"/>
        </w:rPr>
        <w:t>vedi </w:t>
      </w:r>
      <w:r w:rsidRPr="004F76E5">
        <w:rPr>
          <w:rFonts w:ascii="Times New Roman" w:eastAsia="Times New Roman" w:hAnsi="Times New Roman" w:cs="Times New Roman"/>
          <w:i/>
          <w:iCs/>
          <w:color w:val="000000"/>
          <w:kern w:val="0"/>
          <w:lang w:eastAsia="it-IT"/>
          <w14:ligatures w14:val="none"/>
        </w:rPr>
        <w:t>Olsson contro Svezia (n. 2),</w:t>
      </w:r>
      <w:r w:rsidRPr="004F76E5">
        <w:rPr>
          <w:rFonts w:ascii="Times New Roman" w:eastAsia="Times New Roman" w:hAnsi="Times New Roman" w:cs="Times New Roman"/>
          <w:color w:val="000000"/>
          <w:kern w:val="0"/>
          <w:lang w:eastAsia="it-IT"/>
          <w14:ligatures w14:val="none"/>
        </w:rPr>
        <w:t> 27 novembre 1992, § 90, Serie A n. 250, e </w:t>
      </w:r>
      <w:proofErr w:type="spellStart"/>
      <w:r w:rsidRPr="004F76E5">
        <w:rPr>
          <w:rFonts w:ascii="Times New Roman" w:eastAsia="Times New Roman" w:hAnsi="Times New Roman" w:cs="Times New Roman"/>
          <w:i/>
          <w:iCs/>
          <w:color w:val="000000"/>
          <w:kern w:val="0"/>
          <w:lang w:eastAsia="it-IT"/>
          <w14:ligatures w14:val="none"/>
        </w:rPr>
        <w:t>Sommerfeld</w:t>
      </w:r>
      <w:proofErr w:type="spellEnd"/>
      <w:r w:rsidRPr="004F76E5">
        <w:rPr>
          <w:rFonts w:ascii="Times New Roman" w:eastAsia="Times New Roman" w:hAnsi="Times New Roman" w:cs="Times New Roman"/>
          <w:i/>
          <w:iCs/>
          <w:color w:val="000000"/>
          <w:kern w:val="0"/>
          <w:lang w:eastAsia="it-IT"/>
          <w14:ligatures w14:val="none"/>
        </w:rPr>
        <w:t xml:space="preserve"> contro Germania</w:t>
      </w:r>
      <w:r w:rsidRPr="004F76E5">
        <w:rPr>
          <w:rFonts w:ascii="Times New Roman" w:eastAsia="Times New Roman" w:hAnsi="Times New Roman" w:cs="Times New Roman"/>
          <w:color w:val="000000"/>
          <w:kern w:val="0"/>
          <w:lang w:eastAsia="it-IT"/>
          <w14:ligatures w14:val="none"/>
        </w:rPr>
        <w:t> [GC], n. 31871/96, § 64, CEDU 2003-VIII (estratti))</w:t>
      </w:r>
      <w:bookmarkEnd w:id="61"/>
      <w:r w:rsidRPr="004F76E5">
        <w:rPr>
          <w:rFonts w:ascii="Times New Roman" w:eastAsia="Times New Roman" w:hAnsi="Times New Roman" w:cs="Times New Roman"/>
          <w:color w:val="000000"/>
          <w:kern w:val="0"/>
          <w:lang w:eastAsia="it-IT"/>
          <w14:ligatures w14:val="none"/>
        </w:rPr>
        <w:t>).</w:t>
      </w:r>
    </w:p>
    <w:p w14:paraId="4CA90C77" w14:textId="356D2513"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111</w:t>
      </w:r>
      <w:r w:rsidRPr="004F76E5">
        <w:rPr>
          <w:rFonts w:ascii="Times New Roman" w:eastAsia="Times New Roman" w:hAnsi="Times New Roman" w:cs="Times New Roman"/>
          <w:color w:val="000000"/>
          <w:kern w:val="0"/>
          <w:lang w:eastAsia="it-IT"/>
          <w14:ligatures w14:val="none"/>
        </w:rPr>
        <w:t>. Inoltre, il diritto alla dignità umana e all'integrità psicologica richiede particolare attenzione quando un bambino è vittima di violenza (vedi, </w:t>
      </w:r>
      <w:proofErr w:type="spellStart"/>
      <w:r w:rsidRPr="004F76E5">
        <w:rPr>
          <w:rFonts w:ascii="Times New Roman" w:eastAsia="Times New Roman" w:hAnsi="Times New Roman" w:cs="Times New Roman"/>
          <w:i/>
          <w:iCs/>
          <w:color w:val="000000"/>
          <w:kern w:val="0"/>
          <w:lang w:eastAsia="it-IT"/>
          <w14:ligatures w14:val="none"/>
        </w:rPr>
        <w:t>mutatis</w:t>
      </w:r>
      <w:proofErr w:type="spellEnd"/>
      <w:r w:rsidRPr="004F76E5">
        <w:rPr>
          <w:rFonts w:ascii="Times New Roman" w:eastAsia="Times New Roman" w:hAnsi="Times New Roman" w:cs="Times New Roman"/>
          <w:i/>
          <w:iCs/>
          <w:color w:val="000000"/>
          <w:kern w:val="0"/>
          <w:lang w:eastAsia="it-IT"/>
          <w14:ligatures w14:val="none"/>
        </w:rPr>
        <w:t xml:space="preserve"> </w:t>
      </w:r>
      <w:proofErr w:type="spellStart"/>
      <w:r w:rsidRPr="004F76E5">
        <w:rPr>
          <w:rFonts w:ascii="Times New Roman" w:eastAsia="Times New Roman" w:hAnsi="Times New Roman" w:cs="Times New Roman"/>
          <w:i/>
          <w:iCs/>
          <w:color w:val="000000"/>
          <w:kern w:val="0"/>
          <w:lang w:eastAsia="it-IT"/>
          <w14:ligatures w14:val="none"/>
        </w:rPr>
        <w:t>mutandis</w:t>
      </w:r>
      <w:proofErr w:type="spellEnd"/>
      <w:r w:rsidRPr="004F76E5">
        <w:rPr>
          <w:rFonts w:ascii="Times New Roman" w:eastAsia="Times New Roman" w:hAnsi="Times New Roman" w:cs="Times New Roman"/>
          <w:color w:val="000000"/>
          <w:kern w:val="0"/>
          <w:lang w:eastAsia="it-IT"/>
          <w14:ligatures w14:val="none"/>
        </w:rPr>
        <w:t>,</w:t>
      </w:r>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vedi </w:t>
      </w:r>
      <w:proofErr w:type="spellStart"/>
      <w:r w:rsidRPr="004F76E5">
        <w:rPr>
          <w:rFonts w:ascii="Times New Roman" w:eastAsia="Times New Roman" w:hAnsi="Times New Roman" w:cs="Times New Roman"/>
          <w:i/>
          <w:iCs/>
          <w:color w:val="000000"/>
          <w:kern w:val="0"/>
          <w:lang w:eastAsia="it-IT"/>
          <w14:ligatures w14:val="none"/>
        </w:rPr>
        <w:t>Söderman</w:t>
      </w:r>
      <w:proofErr w:type="spellEnd"/>
      <w:r w:rsidRPr="004F76E5">
        <w:rPr>
          <w:rFonts w:ascii="Times New Roman" w:eastAsia="Times New Roman" w:hAnsi="Times New Roman" w:cs="Times New Roman"/>
          <w:i/>
          <w:iCs/>
          <w:color w:val="000000"/>
          <w:kern w:val="0"/>
          <w:lang w:eastAsia="it-IT"/>
          <w14:ligatures w14:val="none"/>
        </w:rPr>
        <w:t xml:space="preserve"> contro Svezia</w:t>
      </w:r>
      <w:r w:rsidRPr="004F76E5">
        <w:rPr>
          <w:rFonts w:ascii="Times New Roman" w:eastAsia="Times New Roman" w:hAnsi="Times New Roman" w:cs="Times New Roman"/>
          <w:color w:val="000000"/>
          <w:kern w:val="0"/>
          <w:lang w:eastAsia="it-IT"/>
          <w14:ligatures w14:val="none"/>
        </w:rPr>
        <w:t> [GC], n. </w:t>
      </w:r>
      <w:hyperlink r:id="rId46" w:anchor="{%22appno%22:[%225786/08%22]}" w:tgtFrame="_blank" w:history="1">
        <w:r w:rsidRPr="004F76E5">
          <w:rPr>
            <w:rFonts w:ascii="Times New Roman" w:eastAsia="Times New Roman" w:hAnsi="Times New Roman" w:cs="Times New Roman"/>
            <w:color w:val="0069D6"/>
            <w:kern w:val="0"/>
            <w:u w:val="single"/>
            <w:lang w:eastAsia="it-IT"/>
            <w14:ligatures w14:val="none"/>
          </w:rPr>
          <w:t>5786/08</w:t>
        </w:r>
      </w:hyperlink>
      <w:r w:rsidRPr="004F76E5">
        <w:rPr>
          <w:rFonts w:ascii="Times New Roman" w:eastAsia="Times New Roman" w:hAnsi="Times New Roman" w:cs="Times New Roman"/>
          <w:color w:val="000000"/>
          <w:kern w:val="0"/>
          <w:lang w:eastAsia="it-IT"/>
          <w14:ligatures w14:val="none"/>
        </w:rPr>
        <w:t>, § 81, CEDU 2013 e </w:t>
      </w:r>
      <w:r w:rsidRPr="004F76E5">
        <w:rPr>
          <w:rFonts w:ascii="Times New Roman" w:eastAsia="Times New Roman" w:hAnsi="Times New Roman" w:cs="Times New Roman"/>
          <w:i/>
          <w:iCs/>
          <w:color w:val="000000"/>
          <w:kern w:val="0"/>
          <w:lang w:eastAsia="it-IT"/>
          <w14:ligatures w14:val="none"/>
        </w:rPr>
        <w:t>D.M.D. contro Romania</w:t>
      </w:r>
      <w:r w:rsidRPr="004F76E5">
        <w:rPr>
          <w:rFonts w:ascii="Times New Roman" w:eastAsia="Times New Roman" w:hAnsi="Times New Roman" w:cs="Times New Roman"/>
          <w:color w:val="000000"/>
          <w:kern w:val="0"/>
          <w:lang w:eastAsia="it-IT"/>
          <w14:ligatures w14:val="none"/>
        </w:rPr>
        <w:t>, n. </w:t>
      </w:r>
      <w:hyperlink r:id="rId47" w:anchor="{%22appno%22:[%2223022/13%22]}" w:tgtFrame="_blank" w:history="1">
        <w:r w:rsidRPr="004F76E5">
          <w:rPr>
            <w:rFonts w:ascii="Times New Roman" w:eastAsia="Times New Roman" w:hAnsi="Times New Roman" w:cs="Times New Roman"/>
            <w:color w:val="0069D6"/>
            <w:kern w:val="0"/>
            <w:u w:val="single"/>
            <w:lang w:eastAsia="it-IT"/>
            <w14:ligatures w14:val="none"/>
          </w:rPr>
          <w:t>23022/13</w:t>
        </w:r>
      </w:hyperlink>
      <w:r w:rsidRPr="004F76E5">
        <w:rPr>
          <w:rFonts w:ascii="Times New Roman" w:eastAsia="Times New Roman" w:hAnsi="Times New Roman" w:cs="Times New Roman"/>
          <w:color w:val="000000"/>
          <w:kern w:val="0"/>
          <w:lang w:eastAsia="it-IT"/>
          <w14:ligatures w14:val="none"/>
        </w:rPr>
        <w:t>, § 51, 3 ottobre 2017). A tal proposito, la Corte ribadisce inoltre che l</w:t>
      </w:r>
      <w:r w:rsidR="00681E34" w:rsidRPr="004F76E5">
        <w:rPr>
          <w:rFonts w:ascii="Times New Roman" w:eastAsia="Times New Roman" w:hAnsi="Times New Roman" w:cs="Times New Roman"/>
          <w:color w:val="000000"/>
          <w:kern w:val="0"/>
          <w:lang w:eastAsia="it-IT"/>
          <w14:ligatures w14:val="none"/>
        </w:rPr>
        <w:t>a</w:t>
      </w:r>
      <w:r w:rsidRPr="004F76E5">
        <w:rPr>
          <w:rFonts w:ascii="Times New Roman" w:eastAsia="Times New Roman" w:hAnsi="Times New Roman" w:cs="Times New Roman"/>
          <w:color w:val="000000"/>
          <w:kern w:val="0"/>
          <w:lang w:eastAsia="it-IT"/>
          <w14:ligatures w14:val="none"/>
        </w:rPr>
        <w:t xml:space="preserve"> mancat</w:t>
      </w:r>
      <w:r w:rsidR="00681E34" w:rsidRPr="004F76E5">
        <w:rPr>
          <w:rFonts w:ascii="Times New Roman" w:eastAsia="Times New Roman" w:hAnsi="Times New Roman" w:cs="Times New Roman"/>
          <w:color w:val="000000"/>
          <w:kern w:val="0"/>
          <w:lang w:eastAsia="it-IT"/>
          <w14:ligatures w14:val="none"/>
        </w:rPr>
        <w:t>a</w:t>
      </w:r>
      <w:r w:rsidRPr="004F76E5">
        <w:rPr>
          <w:rFonts w:ascii="Times New Roman" w:eastAsia="Times New Roman" w:hAnsi="Times New Roman" w:cs="Times New Roman"/>
          <w:color w:val="000000"/>
          <w:kern w:val="0"/>
          <w:lang w:eastAsia="it-IT"/>
          <w14:ligatures w14:val="none"/>
        </w:rPr>
        <w:t xml:space="preserve"> preoccupazione da parte delle autorità nazionali di episodi di violenza domestica nella determinazione dei diritti al contatto con i minori viola i loro obblighi ai sensi dell'articolo 8 (</w:t>
      </w:r>
      <w:bookmarkStart w:id="62" w:name="_cl43786THELAW"/>
      <w:r w:rsidRPr="004F76E5">
        <w:rPr>
          <w:rFonts w:ascii="Times New Roman" w:eastAsia="Times New Roman" w:hAnsi="Times New Roman" w:cs="Times New Roman"/>
          <w:color w:val="000000"/>
          <w:kern w:val="0"/>
          <w:lang w:eastAsia="it-IT"/>
          <w14:ligatures w14:val="none"/>
        </w:rPr>
        <w:t>vedi </w:t>
      </w:r>
      <w:bookmarkEnd w:id="62"/>
      <w:r w:rsidRPr="004F76E5">
        <w:rPr>
          <w:rFonts w:ascii="Times New Roman" w:eastAsia="Times New Roman" w:hAnsi="Times New Roman" w:cs="Times New Roman"/>
          <w:i/>
          <w:iCs/>
          <w:color w:val="000000"/>
          <w:kern w:val="0"/>
          <w:lang w:eastAsia="it-IT"/>
          <w14:ligatures w14:val="none"/>
        </w:rPr>
        <w:t>Luca v. la Repubblica di Moldova</w:t>
      </w:r>
      <w:r w:rsidRPr="004F76E5">
        <w:rPr>
          <w:rFonts w:ascii="Times New Roman" w:eastAsia="Times New Roman" w:hAnsi="Times New Roman" w:cs="Times New Roman"/>
          <w:color w:val="000000"/>
          <w:kern w:val="0"/>
          <w:lang w:eastAsia="it-IT"/>
          <w14:ligatures w14:val="none"/>
        </w:rPr>
        <w:t>, n. </w:t>
      </w:r>
      <w:hyperlink r:id="rId48" w:anchor="{%22appno%22:[%2255351/17%22]}" w:tgtFrame="_blank" w:history="1">
        <w:r w:rsidRPr="004F76E5">
          <w:rPr>
            <w:rFonts w:ascii="Times New Roman" w:eastAsia="Times New Roman" w:hAnsi="Times New Roman" w:cs="Times New Roman"/>
            <w:color w:val="0069D6"/>
            <w:kern w:val="0"/>
            <w:u w:val="single"/>
            <w:lang w:eastAsia="it-IT"/>
            <w14:ligatures w14:val="none"/>
          </w:rPr>
          <w:t>55351/17</w:t>
        </w:r>
      </w:hyperlink>
      <w:r w:rsidRPr="004F76E5">
        <w:rPr>
          <w:rFonts w:ascii="Times New Roman" w:eastAsia="Times New Roman" w:hAnsi="Times New Roman" w:cs="Times New Roman"/>
          <w:color w:val="000000"/>
          <w:kern w:val="0"/>
          <w:lang w:eastAsia="it-IT"/>
          <w14:ligatures w14:val="none"/>
        </w:rPr>
        <w:t>, §§ 90-95, 17 ottobre 2023).</w:t>
      </w:r>
    </w:p>
    <w:p w14:paraId="0C500F7E" w14:textId="77777777" w:rsidR="00F9301F" w:rsidRPr="004F76E5" w:rsidRDefault="00F9301F" w:rsidP="00F9301F">
      <w:pPr>
        <w:shd w:val="clear" w:color="auto" w:fill="FFFFFF"/>
        <w:spacing w:before="280" w:after="120" w:line="240" w:lineRule="auto"/>
        <w:ind w:left="975" w:hanging="340"/>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b/>
          <w:bCs/>
          <w:color w:val="000000"/>
          <w:kern w:val="0"/>
          <w:sz w:val="20"/>
          <w:szCs w:val="20"/>
          <w:lang w:eastAsia="it-IT"/>
          <w14:ligatures w14:val="none"/>
        </w:rPr>
        <w:t>(b)</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b/>
          <w:bCs/>
          <w:color w:val="000000"/>
          <w:kern w:val="0"/>
          <w:sz w:val="20"/>
          <w:szCs w:val="20"/>
          <w:lang w:eastAsia="it-IT"/>
          <w14:ligatures w14:val="none"/>
        </w:rPr>
        <w:t>Applicazione di tali principi al caso presente</w:t>
      </w:r>
      <w:r w:rsidRPr="004F76E5">
        <w:rPr>
          <w:rFonts w:ascii="Times New Roman" w:eastAsia="Times New Roman" w:hAnsi="Times New Roman" w:cs="Times New Roman"/>
          <w:color w:val="000000"/>
          <w:kern w:val="0"/>
          <w:sz w:val="14"/>
          <w:szCs w:val="14"/>
          <w:lang w:eastAsia="it-IT"/>
          <w14:ligatures w14:val="none"/>
        </w:rPr>
        <w:t>  </w:t>
      </w:r>
    </w:p>
    <w:p w14:paraId="766F1B94"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112. La Corte deve esaminare, alla luce delle circostanze generali del caso, se i tribunali interni intervenuti nel presente caso forniscano ragioni rilevanti e sufficienti per giustificare le misure adottate in un contesto di violenza domestica, mantenendo al contempo un giusto equilibrio tra i vari interessi in gioco. Esaminando se tale interferenza soddisfi i requisiti sopra menzionati ai sensi dell'articolo 8 della Convenzione, la Corte ritiene necessario separare l'analisi relativa al primo richiedente da quella relativa alla posizione del secondo e del terzo richiedente.</w:t>
      </w:r>
    </w:p>
    <w:p w14:paraId="1F81EF8F" w14:textId="77777777" w:rsidR="00F9301F" w:rsidRPr="004F76E5" w:rsidRDefault="00F9301F" w:rsidP="00F9301F">
      <w:pPr>
        <w:shd w:val="clear" w:color="auto" w:fill="FFFFFF"/>
        <w:spacing w:before="280" w:after="120" w:line="240" w:lineRule="auto"/>
        <w:ind w:left="1191" w:hanging="358"/>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(i)</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i/>
          <w:iCs/>
          <w:color w:val="000000"/>
          <w:kern w:val="0"/>
          <w:sz w:val="20"/>
          <w:szCs w:val="20"/>
          <w:lang w:eastAsia="it-IT"/>
          <w14:ligatures w14:val="none"/>
        </w:rPr>
        <w:t>Il primo richiedente.</w:t>
      </w:r>
      <w:r w:rsidRPr="004F76E5">
        <w:rPr>
          <w:rFonts w:ascii="Times New Roman" w:eastAsia="Times New Roman" w:hAnsi="Times New Roman" w:cs="Times New Roman"/>
          <w:color w:val="000000"/>
          <w:kern w:val="0"/>
          <w:sz w:val="14"/>
          <w:szCs w:val="14"/>
          <w:lang w:eastAsia="it-IT"/>
          <w14:ligatures w14:val="none"/>
        </w:rPr>
        <w:t> </w:t>
      </w:r>
    </w:p>
    <w:p w14:paraId="56CFFEEA" w14:textId="62A44659"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113</w:t>
      </w:r>
      <w:r w:rsidRPr="004F76E5">
        <w:rPr>
          <w:rFonts w:ascii="Times New Roman" w:eastAsia="Times New Roman" w:hAnsi="Times New Roman" w:cs="Times New Roman"/>
          <w:color w:val="000000"/>
          <w:kern w:val="0"/>
          <w:lang w:eastAsia="it-IT"/>
          <w14:ligatures w14:val="none"/>
        </w:rPr>
        <w:t xml:space="preserve">. La Corte osserva che nel maggio 2021 (vedi paragrafo 18 sopra) il primo richiedente ha presentato al Tribunale dei minori la custodia esclusiva del secondo e terzo richiedente, l'autorizzazione a lasciare l'Italia e trasferirsi in Francia con loro, la revoca della responsabilità genitoriale del G.P. e il mantenimento per i minori per un importo di 800 EUR al mese. Nella domanda, ha incluso tutti i riferimenti alla violenza domestica subita e ha presentato un certificato </w:t>
      </w:r>
      <w:r w:rsidRPr="004F76E5">
        <w:rPr>
          <w:rFonts w:ascii="Times New Roman" w:eastAsia="Times New Roman" w:hAnsi="Times New Roman" w:cs="Times New Roman"/>
          <w:color w:val="000000"/>
          <w:kern w:val="0"/>
          <w:lang w:eastAsia="it-IT"/>
          <w14:ligatures w14:val="none"/>
        </w:rPr>
        <w:lastRenderedPageBreak/>
        <w:t>medico che attesta la sua condizione di astenia, oltre alla denuncia penale presentata contro G.P. Durante una delle udienze davanti al Tribunale Minorile (vedi paragrafo 20 sopra), la prima richiedente ha denunciato gli abusi psicologici, fisici e sessuali subiti da lei, così come la seconda e la terza richiedente, per mano del G.P.</w:t>
      </w:r>
    </w:p>
    <w:p w14:paraId="0473392B" w14:textId="6858B678"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114</w:t>
      </w:r>
      <w:r w:rsidRPr="004F76E5">
        <w:rPr>
          <w:rFonts w:ascii="Times New Roman" w:eastAsia="Times New Roman" w:hAnsi="Times New Roman" w:cs="Times New Roman"/>
          <w:color w:val="000000"/>
          <w:kern w:val="0"/>
          <w:lang w:eastAsia="it-IT"/>
          <w14:ligatures w14:val="none"/>
        </w:rPr>
        <w:t xml:space="preserve">. Il Tribunale osserva che, sebbene il Tribunale per i minori abbia trattato tempestivamente (nel luglio 2021) la richiesta di fissare un'udienza per il caso (vedi paragrafo 19 sopra), non è stata presa alcuna decisione, </w:t>
      </w:r>
      <w:proofErr w:type="gramStart"/>
      <w:r w:rsidRPr="004F76E5">
        <w:rPr>
          <w:rFonts w:ascii="Times New Roman" w:eastAsia="Times New Roman" w:hAnsi="Times New Roman" w:cs="Times New Roman"/>
          <w:color w:val="000000"/>
          <w:kern w:val="0"/>
          <w:lang w:eastAsia="it-IT"/>
          <w14:ligatures w14:val="none"/>
        </w:rPr>
        <w:t>nemmeno  provvisor</w:t>
      </w:r>
      <w:r w:rsidR="00681E34" w:rsidRPr="004F76E5">
        <w:rPr>
          <w:rFonts w:ascii="Times New Roman" w:eastAsia="Times New Roman" w:hAnsi="Times New Roman" w:cs="Times New Roman"/>
          <w:color w:val="000000"/>
          <w:kern w:val="0"/>
          <w:lang w:eastAsia="it-IT"/>
          <w14:ligatures w14:val="none"/>
        </w:rPr>
        <w:t>ia</w:t>
      </w:r>
      <w:proofErr w:type="gramEnd"/>
      <w:r w:rsidRPr="004F76E5">
        <w:rPr>
          <w:rFonts w:ascii="Times New Roman" w:eastAsia="Times New Roman" w:hAnsi="Times New Roman" w:cs="Times New Roman"/>
          <w:color w:val="000000"/>
          <w:kern w:val="0"/>
          <w:lang w:eastAsia="it-IT"/>
          <w14:ligatures w14:val="none"/>
        </w:rPr>
        <w:t>, riguardo la custodia dei figli o il loro mantenimento. Solo un anno dopo, nel giugno 2022 (vedi paragrafo 23 sopra), fu ordinata la sospensione provvisoria della responsabilità genitoriale del G.P. e degli accordi di contatto supervisionato. Tuttavia, quella decisione provvisoria ha confermato l'inserimento dei bambini nel rifugio e non ha deciso né sulla richiesta di affidamento esclusivo a favore del primo richiedente né sulla richiesta di autorizzazione al trasferimento in Francia. Solo dopo il deposito della domanda davanti al Tribunale, ovvero il 10 maggio 2024, il Tribunale Minorile ha emesso una decisione definitiva, più di tre anni dopo che la prima ricorrente aveva presentato la sua causa. Con questa decisione, il Tribunale dei minori ha ordinato la revoca della responsabilità genitoriale del G.P. (vedi paragrafo 35 sopra), senza rispondere alle richieste rimanenti del primo richiedente riguardanti l'autorizzazione al trasferimento in Francia e l'importo da pagare in mantenimento.</w:t>
      </w:r>
    </w:p>
    <w:p w14:paraId="5364D826"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115</w:t>
      </w:r>
      <w:r w:rsidRPr="004F76E5">
        <w:rPr>
          <w:rFonts w:ascii="Times New Roman" w:eastAsia="Times New Roman" w:hAnsi="Times New Roman" w:cs="Times New Roman"/>
          <w:color w:val="000000"/>
          <w:kern w:val="0"/>
          <w:lang w:eastAsia="it-IT"/>
          <w14:ligatures w14:val="none"/>
        </w:rPr>
        <w:t>. Tenendo conto della sua giurisprudenza (vedi </w:t>
      </w:r>
      <w:r w:rsidRPr="004F76E5">
        <w:rPr>
          <w:rFonts w:ascii="Times New Roman" w:eastAsia="Times New Roman" w:hAnsi="Times New Roman" w:cs="Times New Roman"/>
          <w:i/>
          <w:iCs/>
          <w:color w:val="000000"/>
          <w:kern w:val="0"/>
          <w:lang w:eastAsia="it-IT"/>
          <w14:ligatures w14:val="none"/>
        </w:rPr>
        <w:t>M. e M. c. Croazia</w:t>
      </w:r>
      <w:r w:rsidRPr="004F76E5">
        <w:rPr>
          <w:rFonts w:ascii="Times New Roman" w:eastAsia="Times New Roman" w:hAnsi="Times New Roman" w:cs="Times New Roman"/>
          <w:color w:val="000000"/>
          <w:kern w:val="0"/>
          <w:lang w:eastAsia="it-IT"/>
          <w14:ligatures w14:val="none"/>
        </w:rPr>
        <w:t>, citati sopra, § 182) la Corte ritiene che le circostanze sopra indicate siano sufficienti a stabilire che lo Stato resistente non abbia adempiuto ai suoi obblighi positivi ai sensi dell'articolo 8 della Convenzione.</w:t>
      </w:r>
    </w:p>
    <w:p w14:paraId="5EC5061D"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116</w:t>
      </w:r>
      <w:r w:rsidRPr="004F76E5">
        <w:rPr>
          <w:rFonts w:ascii="Times New Roman" w:eastAsia="Times New Roman" w:hAnsi="Times New Roman" w:cs="Times New Roman"/>
          <w:color w:val="000000"/>
          <w:kern w:val="0"/>
          <w:lang w:eastAsia="it-IT"/>
          <w14:ligatures w14:val="none"/>
        </w:rPr>
        <w:t>. Tuttavia, la Corte osserva anche che, nonostante la gravità dei fatti sostenuti dal primo ricorrente, le decisioni del Tribunale per i minori, prese dopo tre anni, così come la decisione provvisoria di sospendere la responsabilità genitoriale del medico di famiglia, hanno ignorato le accuse di violenza domestica. Nessuna delle decisioni ha esaminato la condotta violenta presumibilmente perpetrata dal G.P. contro i richiedenti, come descritto nella richiesta del primo richiedente davanti al Tribunale dei minori (vedi paragrafo 18 sopra) così come durante le udienze (vedi paragrafo 20 sopra). A tal proposito, la Corte osserva che la decisione finale è stata emessa utilizzando un modello prestampato, limitandosi a eliminare le parti della decisione non adatte al caso specifico, senza alcuna analisi dettagliata dei fatti o valutazione del merito delle dichiarazioni dei tre ricorrenti riguardo alla condotta violenta subita nel tempo.</w:t>
      </w:r>
    </w:p>
    <w:p w14:paraId="47887E58"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117.</w:t>
      </w:r>
      <w:r w:rsidRPr="004F76E5">
        <w:rPr>
          <w:rFonts w:ascii="Times New Roman" w:eastAsia="Times New Roman" w:hAnsi="Times New Roman" w:cs="Times New Roman"/>
          <w:color w:val="000000"/>
          <w:kern w:val="0"/>
          <w:lang w:eastAsia="it-IT"/>
          <w14:ligatures w14:val="none"/>
        </w:rPr>
        <w:t> Pertanto, la Corte condivide le preoccupazioni di GREVIO su questo punto riguardo all'esistenza di una pratica diffusa tra i tribunali civili secondo cui "i tribunali civili ... non solo non rilevano i casi di violenza, ma tendono a ignorarli" (vedi paragrafo 47 sopra) e ritiene che tale comportamento imponga un ulteriore onere sulle vittime di violenza domestica invece di proteggerle. Questo è esattamente ciò che è accaduto nel caso attuale, dove la prima ricorrente si è trovata di fronte al completo disprezzo delle sue accuse di violenza domestica, chiaramente e ampiamente esposte nella sua richiesta introduttiva così come nelle dichiarazioni fatte durante l'udienza davanti al Tribunale Minorile, rafforzando e prolungando così la sua</w:t>
      </w:r>
      <w:r w:rsidRPr="004F76E5">
        <w:rPr>
          <w:rFonts w:ascii="Times New Roman" w:eastAsia="Times New Roman" w:hAnsi="Times New Roman" w:cs="Times New Roman"/>
          <w:color w:val="000000"/>
          <w:kern w:val="0"/>
          <w:sz w:val="22"/>
          <w:szCs w:val="22"/>
          <w:lang w:eastAsia="it-IT"/>
          <w14:ligatures w14:val="none"/>
        </w:rPr>
        <w:t> </w:t>
      </w:r>
      <w:r w:rsidRPr="004F76E5">
        <w:rPr>
          <w:rFonts w:ascii="Times New Roman" w:eastAsia="Times New Roman" w:hAnsi="Times New Roman" w:cs="Times New Roman"/>
          <w:color w:val="000000"/>
          <w:kern w:val="0"/>
          <w:lang w:eastAsia="it-IT"/>
          <w14:ligatures w14:val="none"/>
        </w:rPr>
        <w:t>sofferenza, nonché la percezione che la violenza subita fosse rimasta inosservata.</w:t>
      </w:r>
    </w:p>
    <w:p w14:paraId="5A63E0D1" w14:textId="6CE3A245"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118</w:t>
      </w:r>
      <w:r w:rsidRPr="004F76E5">
        <w:rPr>
          <w:rFonts w:ascii="Times New Roman" w:eastAsia="Times New Roman" w:hAnsi="Times New Roman" w:cs="Times New Roman"/>
          <w:color w:val="000000"/>
          <w:kern w:val="0"/>
          <w:lang w:eastAsia="it-IT"/>
          <w14:ligatures w14:val="none"/>
        </w:rPr>
        <w:t>. A questo proposito, la Corte è colpita dall'approccio adottato dal Tribunale dei minori e sottolinea che questo tipo di approccio mina la fiducia che le vittime di violenza domestica hanno nella capacità delle autorità domestiche di gestire in modo appropriato i procedimenti che coinvolgono accuse di violenza domestica. La Corte sottolinea che la protezione contro comportamenti che rientrano nell'ampio ambito della violenza domestica deve essere garantita non solo nei procedimenti penali, ma anche dai tribunali civili e minorili nel contesto delle controversie di diritto di famiglia, durante le quali i tribunali sono responsabili di valutare le capacità genitoriali e di tutelare il miglior interesse del minore.</w:t>
      </w:r>
    </w:p>
    <w:p w14:paraId="44B48C84" w14:textId="5199DACD"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119</w:t>
      </w:r>
      <w:r w:rsidRPr="004F76E5">
        <w:rPr>
          <w:rFonts w:ascii="Times New Roman" w:eastAsia="Times New Roman" w:hAnsi="Times New Roman" w:cs="Times New Roman"/>
          <w:color w:val="000000"/>
          <w:kern w:val="0"/>
          <w:lang w:eastAsia="it-IT"/>
          <w14:ligatures w14:val="none"/>
        </w:rPr>
        <w:t>. La Corte sottolinea quindi che, quando vengono mosse accuse di violenza domestica, gli obblighi positivi incl</w:t>
      </w:r>
      <w:r w:rsidR="00596ABF" w:rsidRPr="004F76E5">
        <w:rPr>
          <w:rFonts w:ascii="Times New Roman" w:eastAsia="Times New Roman" w:hAnsi="Times New Roman" w:cs="Times New Roman"/>
          <w:color w:val="000000"/>
          <w:kern w:val="0"/>
          <w:lang w:eastAsia="it-IT"/>
          <w14:ligatures w14:val="none"/>
        </w:rPr>
        <w:t>u</w:t>
      </w:r>
      <w:r w:rsidRPr="004F76E5">
        <w:rPr>
          <w:rFonts w:ascii="Times New Roman" w:eastAsia="Times New Roman" w:hAnsi="Times New Roman" w:cs="Times New Roman"/>
          <w:color w:val="000000"/>
          <w:kern w:val="0"/>
          <w:lang w:eastAsia="it-IT"/>
          <w14:ligatures w14:val="none"/>
        </w:rPr>
        <w:t>si dalle autorità ai sensi dell'Articolo 8 della Convenzione includono anche l'obbligo del tribunale della famiglia di agire tempestivamente ed efficacemente, tenendo conto delle caratteristiche specifiche delle situazioni di violenza domestica.</w:t>
      </w:r>
    </w:p>
    <w:p w14:paraId="5D7F6E95"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lastRenderedPageBreak/>
        <w:t>120.</w:t>
      </w:r>
      <w:r w:rsidRPr="004F76E5">
        <w:rPr>
          <w:rFonts w:ascii="Times New Roman" w:eastAsia="Times New Roman" w:hAnsi="Times New Roman" w:cs="Times New Roman"/>
          <w:color w:val="000000"/>
          <w:kern w:val="0"/>
          <w:lang w:eastAsia="it-IT"/>
          <w14:ligatures w14:val="none"/>
        </w:rPr>
        <w:t> In queste circostanze, la Corte ritiene che i tribunali nazionali non abbiano agito con la dovuta diligenza e prontezza nel tutelare i diritti del primo richiedente ai sensi dell'articolo 8 della Convenzione.</w:t>
      </w:r>
    </w:p>
    <w:p w14:paraId="7CC220AB"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121</w:t>
      </w:r>
      <w:r w:rsidRPr="004F76E5">
        <w:rPr>
          <w:rFonts w:ascii="Times New Roman" w:eastAsia="Times New Roman" w:hAnsi="Times New Roman" w:cs="Times New Roman"/>
          <w:color w:val="000000"/>
          <w:kern w:val="0"/>
          <w:lang w:eastAsia="it-IT"/>
          <w14:ligatures w14:val="none"/>
        </w:rPr>
        <w:t>. Di conseguenza, la Corte conclude che vi è stata una violazione dell'Articolo 8 a questo riguardo al primo ricorrente.</w:t>
      </w:r>
    </w:p>
    <w:p w14:paraId="3E6C3875" w14:textId="77777777" w:rsidR="00F9301F" w:rsidRPr="004F76E5" w:rsidRDefault="00F9301F" w:rsidP="00F9301F">
      <w:pPr>
        <w:shd w:val="clear" w:color="auto" w:fill="FFFFFF"/>
        <w:spacing w:before="280" w:after="120" w:line="240" w:lineRule="auto"/>
        <w:ind w:left="1191" w:hanging="358"/>
        <w:jc w:val="both"/>
        <w:rPr>
          <w:rFonts w:ascii="Times New Roman" w:eastAsia="Times New Roman" w:hAnsi="Times New Roman" w:cs="Times New Roman"/>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(ii)</w:t>
      </w:r>
      <w:r w:rsidRPr="004F76E5">
        <w:rPr>
          <w:rFonts w:ascii="Times New Roman" w:eastAsia="Times New Roman" w:hAnsi="Times New Roman" w:cs="Times New Roman"/>
          <w:color w:val="000000"/>
          <w:kern w:val="0"/>
          <w:sz w:val="20"/>
          <w:szCs w:val="20"/>
          <w:lang w:eastAsia="it-IT"/>
          <w14:ligatures w14:val="none"/>
        </w:rPr>
        <w:t> </w:t>
      </w:r>
      <w:r w:rsidRPr="004F76E5">
        <w:rPr>
          <w:rFonts w:ascii="Times New Roman" w:eastAsia="Times New Roman" w:hAnsi="Times New Roman" w:cs="Times New Roman"/>
          <w:i/>
          <w:iCs/>
          <w:color w:val="000000"/>
          <w:kern w:val="0"/>
          <w:sz w:val="20"/>
          <w:szCs w:val="20"/>
          <w:lang w:eastAsia="it-IT"/>
          <w14:ligatures w14:val="none"/>
        </w:rPr>
        <w:t>Il secondo e terzo richiedente</w:t>
      </w:r>
    </w:p>
    <w:p w14:paraId="58BEAF8D"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122</w:t>
      </w:r>
      <w:r w:rsidRPr="004F76E5">
        <w:rPr>
          <w:rFonts w:ascii="Times New Roman" w:eastAsia="Times New Roman" w:hAnsi="Times New Roman" w:cs="Times New Roman"/>
          <w:color w:val="000000"/>
          <w:kern w:val="0"/>
          <w:lang w:eastAsia="it-IT"/>
          <w14:ligatures w14:val="none"/>
        </w:rPr>
        <w:t>. La Corte osserva che tra il 2022 e il 2024 il Tribunale Minorile ha ricevuto numerosi rapporti (vedi paragrafi 21, 22 e 27 sopra) dai servizi pubblici responsabili del secondo e terzo richiedente, che esprimevano seria preoccupazione per il grave impatto sui bambini dell'incertezza continua riguardo al loro rapporto con il padre e al prolungato periodo di ricovero nel rifugio. Inoltre, il secondo e il terzo richiedente avevano essi stesso segnalato al Tribunale Minorile (vedi paragrafo 20 sopra) il comportamento violento che il padre aveva mostrato nei loro confronti mentre vivevano con lui.</w:t>
      </w:r>
    </w:p>
    <w:p w14:paraId="2661A644" w14:textId="537DA636"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123</w:t>
      </w:r>
      <w:r w:rsidRPr="004F76E5">
        <w:rPr>
          <w:rFonts w:ascii="Times New Roman" w:eastAsia="Times New Roman" w:hAnsi="Times New Roman" w:cs="Times New Roman"/>
          <w:color w:val="000000"/>
          <w:kern w:val="0"/>
          <w:lang w:eastAsia="it-IT"/>
          <w14:ligatures w14:val="none"/>
        </w:rPr>
        <w:t xml:space="preserve">. La Corte sottolinea che, nonostante i numerosi rapporti ricevuti, la decisione di ritirare la responsabilità genitoriale del G.P. è stata adottata solo il 9 maggio 2024 (vedi paragrafo 35 sopra), due anni dopo la decisione provvisoria che ha sospeso la sua responsabilità genitoriale nel giugno 2022 (vedi paragrafo 23 sopra). A tal proposito, la Corte non è convinta dall'obiezione del Governo secondo cui la durata del procedimento fosse giustificata dalla necessità di valutare la possibilità di ristabilire il contatto tra il G.P. e il secondo e il terzo richiedente. Infatti, il tentativo di farlo tra fine aprile e inizio giugno 2022, quando si sono svolti quattro incontri supervisionati, ha dimostrato che i contatti con il </w:t>
      </w:r>
      <w:r w:rsidR="00596ABF" w:rsidRPr="004F76E5">
        <w:rPr>
          <w:rFonts w:ascii="Times New Roman" w:eastAsia="Times New Roman" w:hAnsi="Times New Roman" w:cs="Times New Roman"/>
          <w:color w:val="000000"/>
          <w:kern w:val="0"/>
          <w:lang w:eastAsia="it-IT"/>
          <w14:ligatures w14:val="none"/>
        </w:rPr>
        <w:t xml:space="preserve">GP </w:t>
      </w:r>
      <w:r w:rsidRPr="004F76E5">
        <w:rPr>
          <w:rFonts w:ascii="Times New Roman" w:eastAsia="Times New Roman" w:hAnsi="Times New Roman" w:cs="Times New Roman"/>
          <w:color w:val="000000"/>
          <w:kern w:val="0"/>
          <w:lang w:eastAsia="it-IT"/>
          <w14:ligatures w14:val="none"/>
        </w:rPr>
        <w:t xml:space="preserve">non erano nell'interesse dei minori e sono stati sospesi dal Tribunale Minorile nella sua decisione provvisoria. Sebbene la Corte non assuma il ruolo delle autorità nazionali nella determinazione delle misure necessarie per tutelare la seconda e la terza </w:t>
      </w:r>
      <w:proofErr w:type="spellStart"/>
      <w:r w:rsidRPr="004F76E5">
        <w:rPr>
          <w:rFonts w:ascii="Times New Roman" w:eastAsia="Times New Roman" w:hAnsi="Times New Roman" w:cs="Times New Roman"/>
          <w:color w:val="000000"/>
          <w:kern w:val="0"/>
          <w:lang w:eastAsia="it-IT"/>
          <w14:ligatures w14:val="none"/>
        </w:rPr>
        <w:t>riquerente</w:t>
      </w:r>
      <w:proofErr w:type="spellEnd"/>
      <w:r w:rsidRPr="004F76E5">
        <w:rPr>
          <w:rFonts w:ascii="Times New Roman" w:eastAsia="Times New Roman" w:hAnsi="Times New Roman" w:cs="Times New Roman"/>
          <w:color w:val="000000"/>
          <w:kern w:val="0"/>
          <w:lang w:eastAsia="it-IT"/>
          <w14:ligatures w14:val="none"/>
        </w:rPr>
        <w:t>, richiama l'attenzione sulla mancata azione del tribunale interno con la tempestività e la diligenza necessarie nell'emettere una decisione definitiva. Dal 2022 al 2024, il Tribunale Minorile è rimasto completamente inattivo. Nella decisione di ritirare la responsabilità genitoriale del G.P. non è stata presa in considerazione il bilanciamento degli interessi in competizione, e i migliori interessi del secondo e terzo richiedente sono stati completamente assenti dal modello prestampato impiegato. Allo stesso modo, il tribunale non si pronunciò sulle richieste di autorizzazione al trasferimento dei bambini in Francia e di imporre obblighi di mantenimento al G.P. Tale inazione non era solo ingiustificata; costituiva una violazione dell'obbligo evidente dello Stato di esercitare una diligenza eccezionale nei procedimenti relativi ai minori.</w:t>
      </w:r>
    </w:p>
    <w:p w14:paraId="0B3443B7"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124</w:t>
      </w:r>
      <w:r w:rsidRPr="004F76E5">
        <w:rPr>
          <w:rFonts w:ascii="Times New Roman" w:eastAsia="Times New Roman" w:hAnsi="Times New Roman" w:cs="Times New Roman"/>
          <w:color w:val="000000"/>
          <w:kern w:val="0"/>
          <w:lang w:eastAsia="it-IT"/>
          <w14:ligatures w14:val="none"/>
        </w:rPr>
        <w:t>. La Corte riconosce che le questioni di affidamento sono altamente delicate, con implicazioni significative per l'educazione e il benessere del minore, e devono quindi essere valutate attentamente dalle autorità nazionali per tutelare il miglior interesse del minore. Tuttavia, il prolungato mancato rilascio di tali questioni non può essere giustificato come un interesse superiore del minore, e le disposizioni di affidamento e residenza devono essere chiarite senza ritardo indebito. I procedimenti di custodia, per loro natura, richiedono un'azione tempestiva da parte delle autorità amministrative e giudiziarie competenti.</w:t>
      </w:r>
    </w:p>
    <w:p w14:paraId="6F16821E"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125</w:t>
      </w:r>
      <w:r w:rsidRPr="004F76E5">
        <w:rPr>
          <w:rFonts w:ascii="Times New Roman" w:eastAsia="Times New Roman" w:hAnsi="Times New Roman" w:cs="Times New Roman"/>
          <w:color w:val="000000"/>
          <w:kern w:val="0"/>
          <w:lang w:eastAsia="it-IT"/>
          <w14:ligatures w14:val="none"/>
        </w:rPr>
        <w:t>. Nel caso attuale le autorità, a causa della loro inerzia, hanno creato un lungo clima di incertezza riguardo alla natura del rapporto del G.P. con il secondo e terzo richiedente, nonché alla possibilità che i bambini lasciassero il rifugio e si trasferissero in Francia o altrove con la madre. Le questioni riguardanti l'autorizzazione del secondo e terzo richiedente a trasferirsi in Francia con la madre e l'obbligo del padre di provvedere al mantenimento rimangono irrisolte fino ad oggi, nonostante siano passati più di quattro anni.</w:t>
      </w:r>
    </w:p>
    <w:p w14:paraId="4D8AB368"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126.</w:t>
      </w:r>
      <w:r w:rsidRPr="004F76E5">
        <w:rPr>
          <w:rFonts w:ascii="Times New Roman" w:eastAsia="Times New Roman" w:hAnsi="Times New Roman" w:cs="Times New Roman"/>
          <w:color w:val="000000"/>
          <w:kern w:val="0"/>
          <w:lang w:eastAsia="it-IT"/>
          <w14:ligatures w14:val="none"/>
        </w:rPr>
        <w:t> In linea con la sua giurisprudenza sulle questioni di custodia (vedi, in particolare, </w:t>
      </w:r>
      <w:r w:rsidRPr="004F76E5">
        <w:rPr>
          <w:rFonts w:ascii="Times New Roman" w:eastAsia="Times New Roman" w:hAnsi="Times New Roman" w:cs="Times New Roman"/>
          <w:i/>
          <w:iCs/>
          <w:color w:val="000000"/>
          <w:kern w:val="0"/>
          <w:lang w:eastAsia="it-IT"/>
          <w14:ligatures w14:val="none"/>
        </w:rPr>
        <w:t>E.S. v. Romania e Bulgaria</w:t>
      </w:r>
      <w:r w:rsidRPr="004F76E5">
        <w:rPr>
          <w:rFonts w:ascii="Times New Roman" w:eastAsia="Times New Roman" w:hAnsi="Times New Roman" w:cs="Times New Roman"/>
          <w:color w:val="000000"/>
          <w:kern w:val="0"/>
          <w:lang w:eastAsia="it-IT"/>
          <w14:ligatures w14:val="none"/>
        </w:rPr>
        <w:t>, n. </w:t>
      </w:r>
      <w:hyperlink r:id="rId49" w:anchor="{%22appno%22:[%2260281/11%22]}" w:tgtFrame="_blank" w:history="1">
        <w:r w:rsidRPr="004F76E5">
          <w:rPr>
            <w:rFonts w:ascii="Times New Roman" w:eastAsia="Times New Roman" w:hAnsi="Times New Roman" w:cs="Times New Roman"/>
            <w:color w:val="0069D6"/>
            <w:kern w:val="0"/>
            <w:u w:val="single"/>
            <w:lang w:eastAsia="it-IT"/>
            <w14:ligatures w14:val="none"/>
          </w:rPr>
          <w:t>60281/11</w:t>
        </w:r>
      </w:hyperlink>
      <w:r w:rsidRPr="004F76E5">
        <w:rPr>
          <w:rFonts w:ascii="Times New Roman" w:eastAsia="Times New Roman" w:hAnsi="Times New Roman" w:cs="Times New Roman"/>
          <w:color w:val="000000"/>
          <w:kern w:val="0"/>
          <w:lang w:eastAsia="it-IT"/>
          <w14:ligatures w14:val="none"/>
        </w:rPr>
        <w:t>, §§ 64-65, 19 luglio 2016) la Corte ritiene che, nel caso in esame, la sola durata del procedimento possa essere sufficiente a dimostrare che lo Stato resistente non ha adempiuto ai suoi obblighi positivi ai sensi dell'articolo 8 della Convenzione. La Corte ritiene comunque necessario richiamare l'attenzione su due circostanze aggiuntive.</w:t>
      </w:r>
    </w:p>
    <w:p w14:paraId="5D117605"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lastRenderedPageBreak/>
        <w:t>127</w:t>
      </w:r>
      <w:r w:rsidRPr="004F76E5">
        <w:rPr>
          <w:rFonts w:ascii="Times New Roman" w:eastAsia="Times New Roman" w:hAnsi="Times New Roman" w:cs="Times New Roman"/>
          <w:color w:val="000000"/>
          <w:kern w:val="0"/>
          <w:lang w:eastAsia="it-IT"/>
          <w14:ligatures w14:val="none"/>
        </w:rPr>
        <w:t>. Innanzitutto, ricordando le valutazioni già espresse (vedi paragrafi 88 e 89 sopra) riguardo all'adeguatezza delle misure per la prevenzione della violenza domestica, la Corte ritiene che la lunga permanenza dei minori nel rifugio abbia comportato anche conseguenze significative per il loro benessere psicologico e fisico. A tal proposito, la Corte osserva che nessuna delle decisioni emesse conteneva una valutazione attenta e genuina dell'impatto che la permanenza nel rifugio ha avuto sui minori, nonostante il fatto che le autorità nazionali fossero</w:t>
      </w:r>
      <w:r w:rsidRPr="004F76E5">
        <w:rPr>
          <w:rFonts w:ascii="Times New Roman" w:eastAsia="Times New Roman" w:hAnsi="Times New Roman" w:cs="Times New Roman"/>
          <w:i/>
          <w:iCs/>
          <w:color w:val="000000"/>
          <w:kern w:val="0"/>
          <w:lang w:eastAsia="it-IT"/>
          <w14:ligatures w14:val="none"/>
        </w:rPr>
        <w:t> </w:t>
      </w:r>
      <w:r w:rsidRPr="004F76E5">
        <w:rPr>
          <w:rFonts w:ascii="Times New Roman" w:eastAsia="Times New Roman" w:hAnsi="Times New Roman" w:cs="Times New Roman"/>
          <w:color w:val="000000"/>
          <w:kern w:val="0"/>
          <w:lang w:eastAsia="it-IT"/>
          <w14:ligatures w14:val="none"/>
        </w:rPr>
        <w:t>consapevoli delle sofferenze vissute dal secondo e terzo richiedente nel periodo di tre anni, poiché la loro sofferenza si rifletteva chiaramente nei vari rapporti presentati dai servizi sociali competenti al Tribunale dei minori.</w:t>
      </w:r>
    </w:p>
    <w:p w14:paraId="01E98479"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128</w:t>
      </w:r>
      <w:r w:rsidRPr="004F76E5">
        <w:rPr>
          <w:rFonts w:ascii="Times New Roman" w:eastAsia="Times New Roman" w:hAnsi="Times New Roman" w:cs="Times New Roman"/>
          <w:color w:val="000000"/>
          <w:kern w:val="0"/>
          <w:lang w:eastAsia="it-IT"/>
          <w14:ligatures w14:val="none"/>
        </w:rPr>
        <w:t>. In questo caso, la prolungata inazione ha anche portato il secondo e il terzo richiedente a una seria restrizione dei loro diritti e libertà fondamentali, poiché erano obbligati a rimanere nel rifugio per quasi tre anni, confinati in una stanza di 15 metri quadrati e gravati da limitazioni significative e ingiustificate alla vita quotidiana derivanti dalle regole operative del rifugio. La Corte dubita che tali condizioni possano essere conciliate con la tutela del miglior interesse del secondo e terzo richiedente e osserva che il Tribunale dei minori non ha mai preso provvedimenti per valutare se le condizioni di vita dei bambini fossero allineate al loro interesse superiore.</w:t>
      </w:r>
    </w:p>
    <w:p w14:paraId="768BC396"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129</w:t>
      </w:r>
      <w:r w:rsidRPr="004F76E5">
        <w:rPr>
          <w:rFonts w:ascii="Times New Roman" w:eastAsia="Times New Roman" w:hAnsi="Times New Roman" w:cs="Times New Roman"/>
          <w:color w:val="000000"/>
          <w:kern w:val="0"/>
          <w:lang w:eastAsia="it-IT"/>
          <w14:ligatures w14:val="none"/>
        </w:rPr>
        <w:t>. In secondo luogo, sembra che da nessuna parte nelle decisioni allegate vi sia una valutazione dell'effettiva esposizione del secondo e terzo richiedente alla violenza domestica da parte del medico di generale.</w:t>
      </w:r>
      <w:r w:rsidRPr="004F76E5">
        <w:rPr>
          <w:rFonts w:ascii="Times New Roman" w:eastAsia="Times New Roman" w:hAnsi="Times New Roman" w:cs="Times New Roman"/>
          <w:color w:val="000000"/>
          <w:kern w:val="0"/>
          <w:sz w:val="22"/>
          <w:szCs w:val="22"/>
          <w:lang w:eastAsia="it-IT"/>
          <w14:ligatures w14:val="none"/>
        </w:rPr>
        <w:t> </w:t>
      </w:r>
      <w:r w:rsidRPr="004F76E5">
        <w:rPr>
          <w:rFonts w:ascii="Times New Roman" w:eastAsia="Times New Roman" w:hAnsi="Times New Roman" w:cs="Times New Roman"/>
          <w:color w:val="000000"/>
          <w:kern w:val="0"/>
          <w:lang w:eastAsia="it-IT"/>
          <w14:ligatures w14:val="none"/>
        </w:rPr>
        <w:t>In particolare, la decisione finale del tribunale minorile (vedi paragrafo 35 sopra) fu adottata sulla base di un modello prestampato da cui le parti del testo standard non ritenute adatte al caso venivano semplicemente tagliate a mano, con solo poche aggiunte scritte a mano.</w:t>
      </w:r>
    </w:p>
    <w:p w14:paraId="6ADB4315"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130.</w:t>
      </w:r>
      <w:r w:rsidRPr="004F76E5">
        <w:rPr>
          <w:rFonts w:ascii="Times New Roman" w:eastAsia="Times New Roman" w:hAnsi="Times New Roman" w:cs="Times New Roman"/>
          <w:color w:val="000000"/>
          <w:kern w:val="0"/>
          <w:lang w:eastAsia="it-IT"/>
          <w14:ligatures w14:val="none"/>
        </w:rPr>
        <w:t xml:space="preserve"> A tal proposito, la Corte esprime seria preoccupazione per la completa assenza, nelle decisioni del Tribunale dei minori, di qualsiasi riferimento alle dichiarazioni fatte dal secondo e terzo richiedente nelle udienze riguardo alla condotta violenta subita o alla validità delle denunce presentate dal primo ricorrente riguardo alla condotta violenta del G.P. A tal proposito, la Corte condivide le preoccupazioni espresse da GREVIO (vedi paragrafo 47 sopra) riguardo al raro uso delle disposizioni del Codice Civile sulla custodia esclusiva o sulla rimozione della responsabilità genitoriale a favore dei minori che hanno subito violenza domestica, e ribadisce il ruolo cruciale che l'articolo 31 della Convenzione di Istanbul deve svolgere in tali procedimenti. Di conseguenza, la Corte sottolinea la necessità di valutare espressamente, nel ragionamento delle decisioni delle autorità nazionali, le accuse di violenza domestica, la loro credibilità e sostanza e la compatibilità del comportamento in questione con i diritti di custodia e visita. Si rammarica che nessuna delle considerazioni sopra descritte compare nel ragionamento – scarno e </w:t>
      </w:r>
      <w:proofErr w:type="spellStart"/>
      <w:r w:rsidRPr="004F76E5">
        <w:rPr>
          <w:rFonts w:ascii="Times New Roman" w:eastAsia="Times New Roman" w:hAnsi="Times New Roman" w:cs="Times New Roman"/>
          <w:color w:val="000000"/>
          <w:kern w:val="0"/>
          <w:lang w:eastAsia="it-IT"/>
          <w14:ligatures w14:val="none"/>
        </w:rPr>
        <w:t>pre</w:t>
      </w:r>
      <w:proofErr w:type="spellEnd"/>
      <w:r w:rsidRPr="004F76E5">
        <w:rPr>
          <w:rFonts w:ascii="Times New Roman" w:eastAsia="Times New Roman" w:hAnsi="Times New Roman" w:cs="Times New Roman"/>
          <w:color w:val="000000"/>
          <w:kern w:val="0"/>
          <w:lang w:eastAsia="it-IT"/>
          <w14:ligatures w14:val="none"/>
        </w:rPr>
        <w:t>-stampato – delle decisioni adottate.</w:t>
      </w:r>
    </w:p>
    <w:p w14:paraId="78A97BA1"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131</w:t>
      </w:r>
      <w:r w:rsidRPr="004F76E5">
        <w:rPr>
          <w:rFonts w:ascii="Times New Roman" w:eastAsia="Times New Roman" w:hAnsi="Times New Roman" w:cs="Times New Roman"/>
          <w:color w:val="000000"/>
          <w:kern w:val="0"/>
          <w:lang w:eastAsia="it-IT"/>
          <w14:ligatures w14:val="none"/>
        </w:rPr>
        <w:t>. Nel complesso, le circostanze sopra riportate permettono alla Corte di concludere che vi sia stata una violazione dell'Articolo 8 a questo riguardo al secondo e terzo ricorrenti.</w:t>
      </w:r>
    </w:p>
    <w:p w14:paraId="2093CC14" w14:textId="77777777" w:rsidR="00596ABF" w:rsidRPr="004F76E5" w:rsidRDefault="00596ABF" w:rsidP="00F9301F">
      <w:pPr>
        <w:shd w:val="clear" w:color="auto" w:fill="FFFFFF"/>
        <w:spacing w:before="280" w:after="240" w:line="240" w:lineRule="auto"/>
        <w:ind w:left="397" w:hanging="397"/>
        <w:jc w:val="both"/>
        <w:rPr>
          <w:rFonts w:ascii="Times New Roman" w:eastAsia="Times New Roman" w:hAnsi="Times New Roman" w:cs="Times New Roman"/>
          <w:b/>
          <w:bCs/>
          <w:caps/>
          <w:color w:val="000000"/>
          <w:kern w:val="0"/>
          <w:lang w:eastAsia="it-IT"/>
          <w14:ligatures w14:val="none"/>
        </w:rPr>
      </w:pPr>
    </w:p>
    <w:p w14:paraId="18F8CB33" w14:textId="0E9260AF" w:rsidR="00F9301F" w:rsidRPr="004F76E5" w:rsidRDefault="00F9301F" w:rsidP="00F9301F">
      <w:pPr>
        <w:shd w:val="clear" w:color="auto" w:fill="FFFFFF"/>
        <w:spacing w:before="280" w:after="240" w:line="240" w:lineRule="auto"/>
        <w:ind w:left="397" w:hanging="397"/>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b/>
          <w:bCs/>
          <w:caps/>
          <w:color w:val="000000"/>
          <w:kern w:val="0"/>
          <w:lang w:eastAsia="it-IT"/>
          <w14:ligatures w14:val="none"/>
        </w:rPr>
        <w:t>III.APPLICAZIONE DELL'ARTICOLO 41 DELLA CONVENZIONE</w:t>
      </w:r>
      <w:r w:rsidRPr="004F76E5">
        <w:rPr>
          <w:rFonts w:ascii="Times New Roman" w:eastAsia="Times New Roman" w:hAnsi="Times New Roman" w:cs="Times New Roman"/>
          <w:b/>
          <w:bCs/>
          <w:color w:val="000000"/>
          <w:kern w:val="0"/>
          <w:sz w:val="14"/>
          <w:szCs w:val="14"/>
          <w:lang w:eastAsia="it-IT"/>
          <w14:ligatures w14:val="none"/>
        </w:rPr>
        <w:t>   </w:t>
      </w:r>
    </w:p>
    <w:p w14:paraId="1B9812CF"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132</w:t>
      </w:r>
      <w:r w:rsidRPr="004F76E5">
        <w:rPr>
          <w:rFonts w:ascii="Times New Roman" w:eastAsia="Times New Roman" w:hAnsi="Times New Roman" w:cs="Times New Roman"/>
          <w:color w:val="000000"/>
          <w:kern w:val="0"/>
          <w:lang w:eastAsia="it-IT"/>
          <w14:ligatures w14:val="none"/>
        </w:rPr>
        <w:t>. L'articolo 41 della Convenzione prevede:</w:t>
      </w:r>
    </w:p>
    <w:p w14:paraId="34165A47" w14:textId="77777777" w:rsidR="00F9301F" w:rsidRPr="004F76E5" w:rsidRDefault="00F9301F" w:rsidP="00F9301F">
      <w:pPr>
        <w:shd w:val="clear" w:color="auto" w:fill="FFFFFF"/>
        <w:spacing w:before="120" w:after="120" w:line="240" w:lineRule="auto"/>
        <w:ind w:left="425" w:firstLine="142"/>
        <w:jc w:val="both"/>
        <w:rPr>
          <w:rFonts w:ascii="Times New Roman" w:eastAsia="Times New Roman" w:hAnsi="Times New Roman" w:cs="Times New Roman"/>
          <w:i/>
          <w:iCs/>
          <w:color w:val="000000"/>
          <w:kern w:val="0"/>
          <w:sz w:val="20"/>
          <w:szCs w:val="20"/>
          <w:lang w:eastAsia="it-IT"/>
          <w14:ligatures w14:val="none"/>
        </w:rPr>
      </w:pPr>
      <w:r w:rsidRPr="004F76E5">
        <w:rPr>
          <w:rFonts w:ascii="Times New Roman" w:eastAsia="Times New Roman" w:hAnsi="Times New Roman" w:cs="Times New Roman"/>
          <w:i/>
          <w:iCs/>
          <w:color w:val="000000"/>
          <w:kern w:val="0"/>
          <w:sz w:val="20"/>
          <w:szCs w:val="20"/>
          <w:lang w:eastAsia="it-IT"/>
          <w14:ligatures w14:val="none"/>
        </w:rPr>
        <w:t>"Se la Corte ritiene che vi sia stata violazione della Convenzione o dei suoi Protocolli, e se la legge interna dell'Alta Parte Contraente interessata consente solo una parziale riparazione, la Corte dovrà, se necessario, garantire una giusta soddisfazione alla parte lesa."</w:t>
      </w:r>
    </w:p>
    <w:p w14:paraId="58922FC8" w14:textId="77777777" w:rsidR="00F9301F" w:rsidRPr="004F76E5" w:rsidRDefault="00F9301F" w:rsidP="00F9301F">
      <w:pPr>
        <w:shd w:val="clear" w:color="auto" w:fill="FFFFFF"/>
        <w:spacing w:before="280" w:after="240" w:line="240" w:lineRule="auto"/>
        <w:ind w:left="51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R.</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b/>
          <w:bCs/>
          <w:color w:val="000000"/>
          <w:kern w:val="0"/>
          <w:lang w:eastAsia="it-IT"/>
          <w14:ligatures w14:val="none"/>
        </w:rPr>
        <w:t>Danni</w:t>
      </w:r>
      <w:r w:rsidRPr="004F76E5">
        <w:rPr>
          <w:rFonts w:ascii="Times New Roman" w:eastAsia="Times New Roman" w:hAnsi="Times New Roman" w:cs="Times New Roman"/>
          <w:color w:val="000000"/>
          <w:kern w:val="0"/>
          <w:sz w:val="14"/>
          <w:szCs w:val="14"/>
          <w:lang w:eastAsia="it-IT"/>
          <w14:ligatures w14:val="none"/>
        </w:rPr>
        <w:t>  </w:t>
      </w:r>
    </w:p>
    <w:p w14:paraId="7B3FEB43"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133</w:t>
      </w:r>
      <w:r w:rsidRPr="004F76E5">
        <w:rPr>
          <w:rFonts w:ascii="Times New Roman" w:eastAsia="Times New Roman" w:hAnsi="Times New Roman" w:cs="Times New Roman"/>
          <w:color w:val="000000"/>
          <w:kern w:val="0"/>
          <w:lang w:eastAsia="it-IT"/>
          <w14:ligatures w14:val="none"/>
        </w:rPr>
        <w:t>. La prima ricorrente rivendicava 52.293 euro (EUR) per danni pecuniari e 50.000 EUR per danni non pecuniari che riteneva di aver subito. Ha inoltre richiesto 40.000 euro ciascuna per danni non pecuniari per il secondo e il terzo ricorrente.</w:t>
      </w:r>
    </w:p>
    <w:p w14:paraId="5E3160D9"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134</w:t>
      </w:r>
      <w:r w:rsidRPr="004F76E5">
        <w:rPr>
          <w:rFonts w:ascii="Times New Roman" w:eastAsia="Times New Roman" w:hAnsi="Times New Roman" w:cs="Times New Roman"/>
          <w:color w:val="000000"/>
          <w:kern w:val="0"/>
          <w:lang w:eastAsia="it-IT"/>
          <w14:ligatures w14:val="none"/>
        </w:rPr>
        <w:t>. Il Governo contestò le pretese dei ricorrenti.</w:t>
      </w:r>
    </w:p>
    <w:p w14:paraId="275D5A3F"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135</w:t>
      </w:r>
      <w:r w:rsidRPr="004F76E5">
        <w:rPr>
          <w:rFonts w:ascii="Times New Roman" w:eastAsia="Times New Roman" w:hAnsi="Times New Roman" w:cs="Times New Roman"/>
          <w:color w:val="000000"/>
          <w:kern w:val="0"/>
          <w:lang w:eastAsia="it-IT"/>
          <w14:ligatures w14:val="none"/>
        </w:rPr>
        <w:t xml:space="preserve">. La Corte non vede alcun legame causale tra la violazione riscontrata e il presunto danno pecuniario e quindi respinge questa richiesta. Per quanto riguarda i danni non pecuniari, ritiene che i </w:t>
      </w:r>
      <w:r w:rsidRPr="004F76E5">
        <w:rPr>
          <w:rFonts w:ascii="Times New Roman" w:eastAsia="Times New Roman" w:hAnsi="Times New Roman" w:cs="Times New Roman"/>
          <w:color w:val="000000"/>
          <w:kern w:val="0"/>
          <w:lang w:eastAsia="it-IT"/>
          <w14:ligatures w14:val="none"/>
        </w:rPr>
        <w:lastRenderedPageBreak/>
        <w:t xml:space="preserve">richiedenti abbiano indubbiamente sperimentato ansia e disagio a causa del mancato rispetto da parte delle autorità ai loro obblighi positivi. Di conseguenza, decidendo su base equitativa, assegna </w:t>
      </w:r>
      <w:r w:rsidRPr="004F76E5">
        <w:rPr>
          <w:rFonts w:ascii="Times New Roman" w:eastAsia="Times New Roman" w:hAnsi="Times New Roman" w:cs="Times New Roman"/>
          <w:b/>
          <w:bCs/>
          <w:color w:val="000000"/>
          <w:kern w:val="0"/>
          <w:lang w:eastAsia="it-IT"/>
          <w14:ligatures w14:val="none"/>
        </w:rPr>
        <w:t>a ciascun richiedente 15.000 euro</w:t>
      </w:r>
      <w:r w:rsidRPr="004F76E5">
        <w:rPr>
          <w:rFonts w:ascii="Times New Roman" w:eastAsia="Times New Roman" w:hAnsi="Times New Roman" w:cs="Times New Roman"/>
          <w:color w:val="000000"/>
          <w:kern w:val="0"/>
          <w:lang w:eastAsia="it-IT"/>
          <w14:ligatures w14:val="none"/>
        </w:rPr>
        <w:t xml:space="preserve"> per danni non pecuniari, più qualsiasi tassa che possa essere applicabile; gli importi che devono essere trattenuti in trust per il secondo e il terzo richiedente dal primo richiedente.</w:t>
      </w:r>
    </w:p>
    <w:p w14:paraId="435BEE90" w14:textId="77777777" w:rsidR="00F9301F" w:rsidRPr="004F76E5" w:rsidRDefault="00F9301F" w:rsidP="00F9301F">
      <w:pPr>
        <w:shd w:val="clear" w:color="auto" w:fill="FFFFFF"/>
        <w:spacing w:before="280" w:after="240" w:line="240" w:lineRule="auto"/>
        <w:ind w:left="51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B.</w:t>
      </w:r>
      <w:r w:rsidRPr="004F76E5">
        <w:rPr>
          <w:rFonts w:ascii="Times New Roman" w:eastAsia="Times New Roman" w:hAnsi="Times New Roman" w:cs="Times New Roman"/>
          <w:color w:val="000000"/>
          <w:kern w:val="0"/>
          <w:lang w:eastAsia="it-IT"/>
          <w14:ligatures w14:val="none"/>
        </w:rPr>
        <w:t> </w:t>
      </w:r>
      <w:r w:rsidRPr="004F76E5">
        <w:rPr>
          <w:rFonts w:ascii="Times New Roman" w:eastAsia="Times New Roman" w:hAnsi="Times New Roman" w:cs="Times New Roman"/>
          <w:b/>
          <w:bCs/>
          <w:color w:val="000000"/>
          <w:kern w:val="0"/>
          <w:lang w:eastAsia="it-IT"/>
          <w14:ligatures w14:val="none"/>
        </w:rPr>
        <w:t>Costi e spese</w:t>
      </w:r>
      <w:r w:rsidRPr="004F76E5">
        <w:rPr>
          <w:rFonts w:ascii="Times New Roman" w:eastAsia="Times New Roman" w:hAnsi="Times New Roman" w:cs="Times New Roman"/>
          <w:color w:val="000000"/>
          <w:kern w:val="0"/>
          <w:sz w:val="14"/>
          <w:szCs w:val="14"/>
          <w:lang w:eastAsia="it-IT"/>
          <w14:ligatures w14:val="none"/>
        </w:rPr>
        <w:t>  </w:t>
      </w:r>
    </w:p>
    <w:p w14:paraId="38DBF5AF"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136.</w:t>
      </w:r>
      <w:r w:rsidRPr="004F76E5">
        <w:rPr>
          <w:rFonts w:ascii="Times New Roman" w:eastAsia="Times New Roman" w:hAnsi="Times New Roman" w:cs="Times New Roman"/>
          <w:color w:val="000000"/>
          <w:kern w:val="0"/>
          <w:lang w:eastAsia="it-IT"/>
          <w14:ligatures w14:val="none"/>
        </w:rPr>
        <w:t> I ricorrenti hanno inoltre richiesto 111.198 EUR per le spese e le spese sostenute davanti ai tribunali nazionali e 7.200 EUR per quelle sostenute davanti alla Corte.</w:t>
      </w:r>
    </w:p>
    <w:p w14:paraId="696D1F93"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137</w:t>
      </w:r>
      <w:r w:rsidRPr="004F76E5">
        <w:rPr>
          <w:rFonts w:ascii="Times New Roman" w:eastAsia="Times New Roman" w:hAnsi="Times New Roman" w:cs="Times New Roman"/>
          <w:color w:val="000000"/>
          <w:kern w:val="0"/>
          <w:lang w:eastAsia="it-IT"/>
          <w14:ligatures w14:val="none"/>
        </w:rPr>
        <w:t>. Il Governo contestò le pretese dei richiedenti.</w:t>
      </w:r>
    </w:p>
    <w:p w14:paraId="1A6144EA" w14:textId="77777777" w:rsidR="00F9301F" w:rsidRPr="004F76E5" w:rsidRDefault="00F9301F" w:rsidP="00F9301F">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138</w:t>
      </w:r>
      <w:r w:rsidRPr="004F76E5">
        <w:rPr>
          <w:rFonts w:ascii="Times New Roman" w:eastAsia="Times New Roman" w:hAnsi="Times New Roman" w:cs="Times New Roman"/>
          <w:color w:val="000000"/>
          <w:kern w:val="0"/>
          <w:lang w:eastAsia="it-IT"/>
          <w14:ligatures w14:val="none"/>
        </w:rPr>
        <w:t>. Secondo la giurisprudenza della Corte, un richiedente ha diritto al rimborso di costi e spese solo nella misura in cui è stato dimostrato che questi sono stati effettivamente e necessariamente sostenuti e sono ragionevoli dal punto di vista quantitativo. Nel caso in esame, considerando i documenti in suo possesso e i criteri sopra citati, la Corte ritiene ragionevole assegnare congiuntamente ai richiedenti la somma di 15.000 EUR a copertura delle spese di tutte le categorie, più qualsiasi tassa che possa essere addebitata ai richiedenti.</w:t>
      </w:r>
    </w:p>
    <w:p w14:paraId="209D77D0" w14:textId="77777777" w:rsidR="00F9301F" w:rsidRPr="004F76E5" w:rsidRDefault="00F9301F" w:rsidP="00F9301F">
      <w:pPr>
        <w:shd w:val="clear" w:color="auto" w:fill="FFFFFF"/>
        <w:spacing w:before="280" w:after="240" w:line="240" w:lineRule="auto"/>
        <w:ind w:left="360" w:hanging="360"/>
        <w:jc w:val="both"/>
        <w:rPr>
          <w:rFonts w:ascii="Times New Roman" w:eastAsia="Times New Roman" w:hAnsi="Times New Roman" w:cs="Times New Roman"/>
          <w:b/>
          <w:bCs/>
          <w:color w:val="000000"/>
          <w:kern w:val="0"/>
          <w:sz w:val="28"/>
          <w:szCs w:val="28"/>
          <w:lang w:eastAsia="it-IT"/>
          <w14:ligatures w14:val="none"/>
        </w:rPr>
      </w:pPr>
      <w:r w:rsidRPr="004F76E5">
        <w:rPr>
          <w:rFonts w:ascii="Times New Roman" w:eastAsia="Times New Roman" w:hAnsi="Times New Roman" w:cs="Times New Roman"/>
          <w:b/>
          <w:bCs/>
          <w:caps/>
          <w:color w:val="000000"/>
          <w:kern w:val="0"/>
          <w:sz w:val="28"/>
          <w:szCs w:val="28"/>
          <w:lang w:eastAsia="it-IT"/>
          <w14:ligatures w14:val="none"/>
        </w:rPr>
        <w:t>PER QUESTE RAGIONI, LA CORTE, ALL'UNANIMITÀ,</w:t>
      </w:r>
    </w:p>
    <w:p w14:paraId="540A1FE2" w14:textId="77777777" w:rsidR="00F9301F" w:rsidRPr="004F76E5" w:rsidRDefault="00F9301F" w:rsidP="00F9301F">
      <w:pPr>
        <w:numPr>
          <w:ilvl w:val="0"/>
          <w:numId w:val="8"/>
        </w:numPr>
        <w:shd w:val="clear" w:color="auto" w:fill="FFFFFF"/>
        <w:spacing w:before="280" w:after="60" w:line="240" w:lineRule="auto"/>
        <w:ind w:left="106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i/>
          <w:iCs/>
          <w:color w:val="000000"/>
          <w:kern w:val="0"/>
          <w:lang w:eastAsia="it-IT"/>
          <w14:ligatures w14:val="none"/>
        </w:rPr>
        <w:t>Collega </w:t>
      </w:r>
      <w:r w:rsidRPr="004F76E5">
        <w:rPr>
          <w:rFonts w:ascii="Times New Roman" w:eastAsia="Times New Roman" w:hAnsi="Times New Roman" w:cs="Times New Roman"/>
          <w:color w:val="000000"/>
          <w:kern w:val="0"/>
          <w:lang w:eastAsia="it-IT"/>
          <w14:ligatures w14:val="none"/>
        </w:rPr>
        <w:t>al merito l'obiezione del Governo riguardo al mancato esaurimento dei rimedi interni relativi al procedimento penale e la </w:t>
      </w:r>
      <w:r w:rsidRPr="004F76E5">
        <w:rPr>
          <w:rFonts w:ascii="Times New Roman" w:eastAsia="Times New Roman" w:hAnsi="Times New Roman" w:cs="Times New Roman"/>
          <w:i/>
          <w:iCs/>
          <w:color w:val="000000"/>
          <w:kern w:val="0"/>
          <w:lang w:eastAsia="it-IT"/>
          <w14:ligatures w14:val="none"/>
        </w:rPr>
        <w:t>respinge</w:t>
      </w:r>
      <w:r w:rsidRPr="004F76E5">
        <w:rPr>
          <w:rFonts w:ascii="Times New Roman" w:eastAsia="Times New Roman" w:hAnsi="Times New Roman" w:cs="Times New Roman"/>
          <w:color w:val="000000"/>
          <w:kern w:val="0"/>
          <w:lang w:eastAsia="it-IT"/>
          <w14:ligatures w14:val="none"/>
        </w:rPr>
        <w:t>;</w:t>
      </w:r>
    </w:p>
    <w:p w14:paraId="2375F938" w14:textId="77777777" w:rsidR="00F9301F" w:rsidRPr="004F76E5" w:rsidRDefault="00F9301F" w:rsidP="00F9301F">
      <w:pPr>
        <w:numPr>
          <w:ilvl w:val="0"/>
          <w:numId w:val="8"/>
        </w:numPr>
        <w:shd w:val="clear" w:color="auto" w:fill="FFFFFF"/>
        <w:spacing w:before="280" w:after="60" w:line="240" w:lineRule="auto"/>
        <w:ind w:left="106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i/>
          <w:iCs/>
          <w:color w:val="000000"/>
          <w:kern w:val="0"/>
          <w:lang w:eastAsia="it-IT"/>
          <w14:ligatures w14:val="none"/>
        </w:rPr>
        <w:t>Dichiara </w:t>
      </w:r>
      <w:r w:rsidRPr="004F76E5">
        <w:rPr>
          <w:rFonts w:ascii="Times New Roman" w:eastAsia="Times New Roman" w:hAnsi="Times New Roman" w:cs="Times New Roman"/>
          <w:color w:val="000000"/>
          <w:kern w:val="0"/>
          <w:lang w:eastAsia="it-IT"/>
          <w14:ligatures w14:val="none"/>
        </w:rPr>
        <w:t>la domanda ammissibile;</w:t>
      </w:r>
    </w:p>
    <w:p w14:paraId="7FE6A432" w14:textId="77777777" w:rsidR="00F9301F" w:rsidRPr="004F76E5" w:rsidRDefault="00F9301F" w:rsidP="00F9301F">
      <w:pPr>
        <w:numPr>
          <w:ilvl w:val="0"/>
          <w:numId w:val="8"/>
        </w:numPr>
        <w:shd w:val="clear" w:color="auto" w:fill="FFFFFF"/>
        <w:spacing w:before="280" w:after="60" w:line="240" w:lineRule="auto"/>
        <w:ind w:left="106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i/>
          <w:iCs/>
          <w:color w:val="000000"/>
          <w:kern w:val="0"/>
          <w:lang w:eastAsia="it-IT"/>
          <w14:ligatures w14:val="none"/>
        </w:rPr>
        <w:t>Stabilisce </w:t>
      </w:r>
      <w:r w:rsidRPr="004F76E5">
        <w:rPr>
          <w:rFonts w:ascii="Times New Roman" w:eastAsia="Times New Roman" w:hAnsi="Times New Roman" w:cs="Times New Roman"/>
          <w:color w:val="000000"/>
          <w:kern w:val="0"/>
          <w:lang w:eastAsia="it-IT"/>
          <w14:ligatures w14:val="none"/>
        </w:rPr>
        <w:t>che vi è stata una violazione degli articoli 3 e 8 della Convenzione in relazione alle denunce dei richiedenti relative alla violenza domestica;</w:t>
      </w:r>
    </w:p>
    <w:p w14:paraId="4E35FD9C" w14:textId="01F14420" w:rsidR="00F9301F" w:rsidRPr="004F76E5" w:rsidRDefault="00F9301F" w:rsidP="00F9301F">
      <w:pPr>
        <w:numPr>
          <w:ilvl w:val="0"/>
          <w:numId w:val="8"/>
        </w:numPr>
        <w:shd w:val="clear" w:color="auto" w:fill="FFFFFF"/>
        <w:spacing w:before="280" w:after="60" w:line="240" w:lineRule="auto"/>
        <w:ind w:left="106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i/>
          <w:iCs/>
          <w:color w:val="000000"/>
          <w:kern w:val="0"/>
          <w:lang w:eastAsia="it-IT"/>
          <w14:ligatures w14:val="none"/>
        </w:rPr>
        <w:t>Stabilisce</w:t>
      </w:r>
      <w:r w:rsidRPr="004F76E5">
        <w:rPr>
          <w:rFonts w:ascii="Times New Roman" w:eastAsia="Times New Roman" w:hAnsi="Times New Roman" w:cs="Times New Roman"/>
          <w:color w:val="000000"/>
          <w:kern w:val="0"/>
          <w:lang w:eastAsia="it-IT"/>
          <w14:ligatures w14:val="none"/>
        </w:rPr>
        <w:t xml:space="preserve"> che vi è stata violazione dell'Articolo 8 della Convenzione per quanto riguarda l'inazione del Tribunale dei Minori in relazione ai diritti di custodia e il continuo </w:t>
      </w:r>
      <w:r w:rsidR="00B2294C" w:rsidRPr="004F76E5">
        <w:rPr>
          <w:rFonts w:ascii="Times New Roman" w:eastAsia="Times New Roman" w:hAnsi="Times New Roman" w:cs="Times New Roman"/>
          <w:color w:val="000000"/>
          <w:kern w:val="0"/>
          <w:lang w:eastAsia="it-IT"/>
          <w14:ligatures w14:val="none"/>
        </w:rPr>
        <w:t xml:space="preserve">collocamento </w:t>
      </w:r>
      <w:r w:rsidRPr="004F76E5">
        <w:rPr>
          <w:rFonts w:ascii="Times New Roman" w:eastAsia="Times New Roman" w:hAnsi="Times New Roman" w:cs="Times New Roman"/>
          <w:color w:val="000000"/>
          <w:kern w:val="0"/>
          <w:lang w:eastAsia="it-IT"/>
          <w14:ligatures w14:val="none"/>
        </w:rPr>
        <w:t>nel rifugio;</w:t>
      </w:r>
    </w:p>
    <w:p w14:paraId="084F35CC" w14:textId="77777777" w:rsidR="00F9301F" w:rsidRPr="004F76E5" w:rsidRDefault="00F9301F" w:rsidP="00F9301F">
      <w:pPr>
        <w:numPr>
          <w:ilvl w:val="0"/>
          <w:numId w:val="8"/>
        </w:numPr>
        <w:shd w:val="clear" w:color="auto" w:fill="FFFFFF"/>
        <w:spacing w:before="280" w:after="60" w:line="240" w:lineRule="auto"/>
        <w:ind w:left="106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proofErr w:type="spellStart"/>
      <w:r w:rsidRPr="004F76E5">
        <w:rPr>
          <w:rFonts w:ascii="Times New Roman" w:eastAsia="Times New Roman" w:hAnsi="Times New Roman" w:cs="Times New Roman"/>
          <w:i/>
          <w:iCs/>
          <w:color w:val="000000"/>
          <w:kern w:val="0"/>
          <w:lang w:eastAsia="it-IT"/>
          <w14:ligatures w14:val="none"/>
        </w:rPr>
        <w:t>Tene</w:t>
      </w:r>
      <w:proofErr w:type="spellEnd"/>
      <w:r w:rsidRPr="004F76E5">
        <w:rPr>
          <w:rFonts w:ascii="Times New Roman" w:eastAsia="Times New Roman" w:hAnsi="Times New Roman" w:cs="Times New Roman"/>
          <w:color w:val="000000"/>
          <w:kern w:val="0"/>
          <w:lang w:eastAsia="it-IT"/>
          <w14:ligatures w14:val="none"/>
        </w:rPr>
        <w:t>,</w:t>
      </w:r>
    </w:p>
    <w:p w14:paraId="61CF8AB4" w14:textId="77777777" w:rsidR="00F9301F" w:rsidRPr="004F76E5" w:rsidRDefault="00F9301F" w:rsidP="00F9301F">
      <w:pPr>
        <w:numPr>
          <w:ilvl w:val="1"/>
          <w:numId w:val="8"/>
        </w:numPr>
        <w:shd w:val="clear" w:color="auto" w:fill="FFFFFF"/>
        <w:spacing w:before="100" w:beforeAutospacing="1" w:after="100" w:afterAutospacing="1" w:line="240" w:lineRule="auto"/>
        <w:ind w:left="212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color w:val="000000"/>
          <w:kern w:val="0"/>
          <w:lang w:eastAsia="it-IT"/>
          <w14:ligatures w14:val="none"/>
        </w:rPr>
        <w:t>che lo Stato resistente debba pagare ai richiedenti, entro tre mesi dalla data in cui la sentenza diventa definitiva ai sensi dell'articolo 44 § 2 della Convenzione, i seguenti importi:</w:t>
      </w:r>
    </w:p>
    <w:p w14:paraId="7209130C" w14:textId="77777777" w:rsidR="00F9301F" w:rsidRPr="004F76E5" w:rsidRDefault="00F9301F" w:rsidP="00F9301F">
      <w:pPr>
        <w:numPr>
          <w:ilvl w:val="2"/>
          <w:numId w:val="8"/>
        </w:numPr>
        <w:shd w:val="clear" w:color="auto" w:fill="FFFFFF"/>
        <w:spacing w:before="100" w:beforeAutospacing="1" w:after="100" w:afterAutospacing="1" w:line="240" w:lineRule="auto"/>
        <w:ind w:left="3181" w:hanging="341"/>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b/>
          <w:bCs/>
          <w:color w:val="000000"/>
          <w:kern w:val="0"/>
          <w:lang w:eastAsia="it-IT"/>
          <w14:ligatures w14:val="none"/>
        </w:rPr>
        <w:t>15.000 EUR</w:t>
      </w:r>
      <w:r w:rsidRPr="004F76E5">
        <w:rPr>
          <w:rFonts w:ascii="Times New Roman" w:eastAsia="Times New Roman" w:hAnsi="Times New Roman" w:cs="Times New Roman"/>
          <w:color w:val="000000"/>
          <w:kern w:val="0"/>
          <w:lang w:eastAsia="it-IT"/>
          <w14:ligatures w14:val="none"/>
        </w:rPr>
        <w:t xml:space="preserve"> (quindicimila euro) ciascuno, più qualsiasi tassa che possa essere applicabile, per danni non </w:t>
      </w:r>
      <w:proofErr w:type="spellStart"/>
      <w:r w:rsidRPr="004F76E5">
        <w:rPr>
          <w:rFonts w:ascii="Times New Roman" w:eastAsia="Times New Roman" w:hAnsi="Times New Roman" w:cs="Times New Roman"/>
          <w:color w:val="000000"/>
          <w:kern w:val="0"/>
          <w:lang w:eastAsia="it-IT"/>
          <w14:ligatures w14:val="none"/>
        </w:rPr>
        <w:t>pecuniarii</w:t>
      </w:r>
      <w:proofErr w:type="spellEnd"/>
      <w:r w:rsidRPr="004F76E5">
        <w:rPr>
          <w:rFonts w:ascii="Times New Roman" w:eastAsia="Times New Roman" w:hAnsi="Times New Roman" w:cs="Times New Roman"/>
          <w:color w:val="000000"/>
          <w:kern w:val="0"/>
          <w:lang w:eastAsia="it-IT"/>
          <w14:ligatures w14:val="none"/>
        </w:rPr>
        <w:t>;</w:t>
      </w:r>
    </w:p>
    <w:p w14:paraId="612CB6A2" w14:textId="77777777" w:rsidR="00F9301F" w:rsidRPr="004F76E5" w:rsidRDefault="00F9301F" w:rsidP="00F9301F">
      <w:pPr>
        <w:numPr>
          <w:ilvl w:val="2"/>
          <w:numId w:val="8"/>
        </w:numPr>
        <w:shd w:val="clear" w:color="auto" w:fill="FFFFFF"/>
        <w:spacing w:before="100" w:beforeAutospacing="1" w:after="100" w:afterAutospacing="1" w:line="240" w:lineRule="auto"/>
        <w:ind w:left="3181" w:hanging="341"/>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sz w:val="14"/>
          <w:szCs w:val="14"/>
          <w:lang w:eastAsia="it-IT"/>
          <w14:ligatures w14:val="none"/>
        </w:rPr>
        <w:t> </w:t>
      </w:r>
      <w:r w:rsidRPr="004F76E5">
        <w:rPr>
          <w:rFonts w:ascii="Times New Roman" w:eastAsia="Times New Roman" w:hAnsi="Times New Roman" w:cs="Times New Roman"/>
          <w:b/>
          <w:bCs/>
          <w:color w:val="000000"/>
          <w:kern w:val="0"/>
          <w:lang w:eastAsia="it-IT"/>
          <w14:ligatures w14:val="none"/>
        </w:rPr>
        <w:t>15.000 EUR</w:t>
      </w:r>
      <w:r w:rsidRPr="004F76E5">
        <w:rPr>
          <w:rFonts w:ascii="Times New Roman" w:eastAsia="Times New Roman" w:hAnsi="Times New Roman" w:cs="Times New Roman"/>
          <w:color w:val="000000"/>
          <w:kern w:val="0"/>
          <w:lang w:eastAsia="it-IT"/>
          <w14:ligatures w14:val="none"/>
        </w:rPr>
        <w:t xml:space="preserve"> (quindicimila euro) congiuntamente, più qualsiasi tassa che possa essere addebitata ai richiedenti, per costi e spese;</w:t>
      </w:r>
    </w:p>
    <w:p w14:paraId="0B6747AF" w14:textId="77777777" w:rsidR="00F9301F" w:rsidRPr="004F76E5" w:rsidRDefault="00F9301F" w:rsidP="00F9301F">
      <w:pPr>
        <w:numPr>
          <w:ilvl w:val="1"/>
          <w:numId w:val="8"/>
        </w:numPr>
        <w:shd w:val="clear" w:color="auto" w:fill="FFFFFF"/>
        <w:spacing w:before="100" w:beforeAutospacing="1" w:after="100" w:afterAutospacing="1" w:line="240" w:lineRule="auto"/>
        <w:ind w:left="212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color w:val="000000"/>
          <w:kern w:val="0"/>
          <w:lang w:eastAsia="it-IT"/>
          <w14:ligatures w14:val="none"/>
        </w:rPr>
        <w:t>che dalla scadenza dei tre mesi sopra menzionati fino al regolamento saranno dovuti interessi semplici sugli importi sopra indicati a un tasso pari al tasso marginale di prestito della Banca Centrale Europea durante il periodo di default più tre punti percentuali;</w:t>
      </w:r>
    </w:p>
    <w:p w14:paraId="1435CE75" w14:textId="6AB76051" w:rsidR="00F9301F" w:rsidRPr="004F76E5" w:rsidRDefault="00F9301F" w:rsidP="00F9301F">
      <w:pPr>
        <w:numPr>
          <w:ilvl w:val="0"/>
          <w:numId w:val="8"/>
        </w:numPr>
        <w:shd w:val="clear" w:color="auto" w:fill="FFFFFF"/>
        <w:spacing w:before="280" w:after="60" w:line="240" w:lineRule="auto"/>
        <w:ind w:left="1060" w:hanging="340"/>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sz w:val="14"/>
          <w:szCs w:val="14"/>
          <w:lang w:eastAsia="it-IT"/>
          <w14:ligatures w14:val="none"/>
        </w:rPr>
        <w:t>    </w:t>
      </w:r>
      <w:r w:rsidRPr="004F76E5">
        <w:rPr>
          <w:rFonts w:ascii="Times New Roman" w:eastAsia="Times New Roman" w:hAnsi="Times New Roman" w:cs="Times New Roman"/>
          <w:i/>
          <w:iCs/>
          <w:color w:val="000000"/>
          <w:kern w:val="0"/>
          <w:lang w:eastAsia="it-IT"/>
          <w14:ligatures w14:val="none"/>
        </w:rPr>
        <w:t>Respinge </w:t>
      </w:r>
      <w:r w:rsidRPr="004F76E5">
        <w:rPr>
          <w:rFonts w:ascii="Times New Roman" w:eastAsia="Times New Roman" w:hAnsi="Times New Roman" w:cs="Times New Roman"/>
          <w:color w:val="000000"/>
          <w:kern w:val="0"/>
          <w:lang w:eastAsia="it-IT"/>
          <w14:ligatures w14:val="none"/>
        </w:rPr>
        <w:t>il resto della richiesta dei richiedenti per giust</w:t>
      </w:r>
      <w:r w:rsidR="00B2294C" w:rsidRPr="004F76E5">
        <w:rPr>
          <w:rFonts w:ascii="Times New Roman" w:eastAsia="Times New Roman" w:hAnsi="Times New Roman" w:cs="Times New Roman"/>
          <w:color w:val="000000"/>
          <w:kern w:val="0"/>
          <w:lang w:eastAsia="it-IT"/>
          <w14:ligatures w14:val="none"/>
        </w:rPr>
        <w:t>a</w:t>
      </w:r>
      <w:r w:rsidRPr="004F76E5">
        <w:rPr>
          <w:rFonts w:ascii="Times New Roman" w:eastAsia="Times New Roman" w:hAnsi="Times New Roman" w:cs="Times New Roman"/>
          <w:color w:val="000000"/>
          <w:kern w:val="0"/>
          <w:lang w:eastAsia="it-IT"/>
          <w14:ligatures w14:val="none"/>
        </w:rPr>
        <w:t xml:space="preserve"> soddisfazione.</w:t>
      </w:r>
    </w:p>
    <w:p w14:paraId="6F3E15B9" w14:textId="77777777" w:rsidR="00F9301F" w:rsidRPr="004F76E5" w:rsidRDefault="00F9301F" w:rsidP="00F9301F">
      <w:pPr>
        <w:shd w:val="clear" w:color="auto" w:fill="FFFFFF"/>
        <w:spacing w:before="240" w:after="24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Fatto in inglese e notificato per iscritto il 2 luglio 2026, ai sensi della Regola 77 §§ 2 e 3 del Regolamento del Tribunale.</w:t>
      </w:r>
    </w:p>
    <w:p w14:paraId="3BD45564" w14:textId="77777777" w:rsidR="00F9301F" w:rsidRPr="004F76E5" w:rsidRDefault="00F9301F" w:rsidP="00F9301F">
      <w:pPr>
        <w:shd w:val="clear" w:color="auto" w:fill="FFFFFF"/>
        <w:spacing w:before="720" w:after="0" w:line="240" w:lineRule="auto"/>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FFFFFF"/>
          <w:kern w:val="0"/>
          <w:lang w:eastAsia="it-IT"/>
          <w14:ligatures w14:val="none"/>
        </w:rPr>
        <w:lastRenderedPageBreak/>
        <w:t> </w:t>
      </w:r>
    </w:p>
    <w:p w14:paraId="5BDCA87B" w14:textId="77777777" w:rsidR="00F9301F" w:rsidRPr="004F76E5" w:rsidRDefault="00F9301F" w:rsidP="00F9301F">
      <w:pPr>
        <w:shd w:val="clear" w:color="auto" w:fill="FFFFFF"/>
        <w:spacing w:before="240" w:after="400" w:line="240" w:lineRule="auto"/>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 xml:space="preserve"> Ilse </w:t>
      </w:r>
      <w:proofErr w:type="spellStart"/>
      <w:r w:rsidRPr="004F76E5">
        <w:rPr>
          <w:rFonts w:ascii="Times New Roman" w:eastAsia="Times New Roman" w:hAnsi="Times New Roman" w:cs="Times New Roman"/>
          <w:color w:val="000000"/>
          <w:kern w:val="0"/>
          <w:lang w:eastAsia="it-IT"/>
          <w14:ligatures w14:val="none"/>
        </w:rPr>
        <w:t>FreiwirthIvana</w:t>
      </w:r>
      <w:proofErr w:type="spellEnd"/>
      <w:r w:rsidRPr="004F76E5">
        <w:rPr>
          <w:rFonts w:ascii="Times New Roman" w:eastAsia="Times New Roman" w:hAnsi="Times New Roman" w:cs="Times New Roman"/>
          <w:color w:val="000000"/>
          <w:kern w:val="0"/>
          <w:lang w:eastAsia="it-IT"/>
          <w14:ligatures w14:val="none"/>
        </w:rPr>
        <w:t xml:space="preserve"> </w:t>
      </w:r>
      <w:proofErr w:type="spellStart"/>
      <w:r w:rsidRPr="004F76E5">
        <w:rPr>
          <w:rFonts w:ascii="Times New Roman" w:eastAsia="Times New Roman" w:hAnsi="Times New Roman" w:cs="Times New Roman"/>
          <w:color w:val="000000"/>
          <w:kern w:val="0"/>
          <w:lang w:eastAsia="it-IT"/>
          <w14:ligatures w14:val="none"/>
        </w:rPr>
        <w:t>Jelić</w:t>
      </w:r>
      <w:proofErr w:type="spellEnd"/>
      <w:r w:rsidRPr="004F76E5">
        <w:rPr>
          <w:rFonts w:ascii="Times New Roman" w:eastAsia="Times New Roman" w:hAnsi="Times New Roman" w:cs="Times New Roman"/>
          <w:color w:val="000000"/>
          <w:kern w:val="0"/>
          <w:lang w:eastAsia="it-IT"/>
          <w14:ligatures w14:val="none"/>
        </w:rPr>
        <w:br/>
        <w:t>Presidente del registro   </w:t>
      </w:r>
    </w:p>
    <w:p w14:paraId="3B3857A4" w14:textId="77777777" w:rsidR="00F9301F" w:rsidRPr="004F76E5" w:rsidRDefault="00F9301F" w:rsidP="00F9301F">
      <w:pPr>
        <w:shd w:val="clear" w:color="auto" w:fill="FFFFFF"/>
        <w:spacing w:before="240"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In conformità con l</w:t>
      </w:r>
      <w:bookmarkStart w:id="63" w:name="_Hlk234141265"/>
      <w:r w:rsidRPr="004F76E5">
        <w:rPr>
          <w:rFonts w:ascii="Times New Roman" w:eastAsia="Times New Roman" w:hAnsi="Times New Roman" w:cs="Times New Roman"/>
          <w:color w:val="000000"/>
          <w:kern w:val="0"/>
          <w:lang w:eastAsia="it-IT"/>
          <w14:ligatures w14:val="none"/>
        </w:rPr>
        <w:t>'articolo 45 § 2 della Convenzione e la Regola 74 § 2 del Regolamento di Tribunale</w:t>
      </w:r>
      <w:bookmarkEnd w:id="63"/>
      <w:r w:rsidRPr="004F76E5">
        <w:rPr>
          <w:rFonts w:ascii="Times New Roman" w:eastAsia="Times New Roman" w:hAnsi="Times New Roman" w:cs="Times New Roman"/>
          <w:color w:val="000000"/>
          <w:kern w:val="0"/>
          <w:lang w:eastAsia="it-IT"/>
          <w14:ligatures w14:val="none"/>
        </w:rPr>
        <w:t xml:space="preserve">, l'opinione separata della giudice </w:t>
      </w:r>
      <w:bookmarkStart w:id="64" w:name="_Hlk234141167"/>
      <w:r w:rsidRPr="004F76E5">
        <w:rPr>
          <w:rFonts w:ascii="Times New Roman" w:eastAsia="Times New Roman" w:hAnsi="Times New Roman" w:cs="Times New Roman"/>
          <w:color w:val="000000"/>
          <w:kern w:val="0"/>
          <w:lang w:eastAsia="it-IT"/>
          <w14:ligatures w14:val="none"/>
        </w:rPr>
        <w:t xml:space="preserve">Anna </w:t>
      </w:r>
      <w:proofErr w:type="spellStart"/>
      <w:r w:rsidRPr="004F76E5">
        <w:rPr>
          <w:rFonts w:ascii="Times New Roman" w:eastAsia="Times New Roman" w:hAnsi="Times New Roman" w:cs="Times New Roman"/>
          <w:color w:val="000000"/>
          <w:kern w:val="0"/>
          <w:lang w:eastAsia="it-IT"/>
          <w14:ligatures w14:val="none"/>
        </w:rPr>
        <w:t>Adamska</w:t>
      </w:r>
      <w:proofErr w:type="spellEnd"/>
      <w:r w:rsidRPr="004F76E5">
        <w:rPr>
          <w:rFonts w:ascii="Times New Roman" w:eastAsia="Times New Roman" w:hAnsi="Times New Roman" w:cs="Times New Roman"/>
          <w:color w:val="000000"/>
          <w:kern w:val="0"/>
          <w:lang w:eastAsia="it-IT"/>
          <w14:ligatures w14:val="none"/>
        </w:rPr>
        <w:t xml:space="preserve">-Gallant </w:t>
      </w:r>
      <w:bookmarkEnd w:id="64"/>
      <w:r w:rsidRPr="004F76E5">
        <w:rPr>
          <w:rFonts w:ascii="Times New Roman" w:eastAsia="Times New Roman" w:hAnsi="Times New Roman" w:cs="Times New Roman"/>
          <w:color w:val="000000"/>
          <w:kern w:val="0"/>
          <w:lang w:eastAsia="it-IT"/>
          <w14:ligatures w14:val="none"/>
        </w:rPr>
        <w:t>è annessa a questa sentenza.</w:t>
      </w:r>
    </w:p>
    <w:p w14:paraId="76F4AFF4" w14:textId="77777777" w:rsidR="00B2294C" w:rsidRPr="004F76E5" w:rsidRDefault="00B2294C" w:rsidP="00F9301F">
      <w:pPr>
        <w:shd w:val="clear" w:color="auto" w:fill="FFFFFF"/>
        <w:spacing w:before="240" w:after="0" w:line="240" w:lineRule="auto"/>
        <w:ind w:firstLine="284"/>
        <w:jc w:val="both"/>
        <w:rPr>
          <w:rFonts w:ascii="Times New Roman" w:eastAsia="Times New Roman" w:hAnsi="Times New Roman" w:cs="Times New Roman"/>
          <w:color w:val="000000"/>
          <w:kern w:val="0"/>
          <w:lang w:eastAsia="it-IT"/>
          <w14:ligatures w14:val="none"/>
        </w:rPr>
      </w:pPr>
    </w:p>
    <w:p w14:paraId="1787B120" w14:textId="77777777" w:rsidR="00662E0E" w:rsidRPr="004F76E5" w:rsidRDefault="00662E0E" w:rsidP="00662E0E">
      <w:pPr>
        <w:shd w:val="clear" w:color="auto" w:fill="FFFFFF"/>
        <w:spacing w:after="240" w:line="240" w:lineRule="auto"/>
        <w:jc w:val="center"/>
        <w:rPr>
          <w:rFonts w:ascii="Times New Roman" w:eastAsia="Times New Roman" w:hAnsi="Times New Roman" w:cs="Times New Roman"/>
          <w:b/>
          <w:bCs/>
          <w:color w:val="000000"/>
          <w:kern w:val="0"/>
          <w:sz w:val="28"/>
          <w:szCs w:val="28"/>
          <w:lang w:eastAsia="it-IT"/>
          <w14:ligatures w14:val="none"/>
        </w:rPr>
      </w:pPr>
      <w:r w:rsidRPr="004F76E5">
        <w:rPr>
          <w:rFonts w:ascii="Times New Roman" w:eastAsia="Times New Roman" w:hAnsi="Times New Roman" w:cs="Times New Roman"/>
          <w:b/>
          <w:bCs/>
          <w:color w:val="000000"/>
          <w:kern w:val="0"/>
          <w:sz w:val="28"/>
          <w:szCs w:val="28"/>
          <w:lang w:eastAsia="it-IT"/>
          <w14:ligatures w14:val="none"/>
        </w:rPr>
        <w:t>PARERE CONCORDANTE DEL GIUDICE ADAMSKA-GALLANT</w:t>
      </w:r>
    </w:p>
    <w:p w14:paraId="4BA2CA74"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b/>
          <w:bCs/>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1. Concordo pienamente con i miei stimati colleghi che, nel caso in esame, lo Stato resistente ha violato gli Articoli 3 e 8 della Convenzione</w:t>
      </w:r>
      <w:r w:rsidRPr="004F76E5">
        <w:rPr>
          <w:rFonts w:ascii="Times New Roman" w:eastAsia="Times New Roman" w:hAnsi="Times New Roman" w:cs="Times New Roman"/>
          <w:color w:val="27251E"/>
          <w:kern w:val="0"/>
          <w:lang w:eastAsia="it-IT"/>
          <w14:ligatures w14:val="none"/>
        </w:rPr>
        <w:t> a causa della sua insufficiente risposta alla violenza domestica stabilita subita dai richiedenti. Tuttavia, a mio avviso, il </w:t>
      </w:r>
      <w:r w:rsidRPr="004F76E5">
        <w:rPr>
          <w:rFonts w:ascii="Times New Roman" w:eastAsia="Times New Roman" w:hAnsi="Times New Roman" w:cs="Times New Roman"/>
          <w:color w:val="000000"/>
          <w:kern w:val="0"/>
          <w:lang w:eastAsia="it-IT"/>
          <w14:ligatures w14:val="none"/>
        </w:rPr>
        <w:t>caso</w:t>
      </w:r>
      <w:r w:rsidRPr="004F76E5">
        <w:rPr>
          <w:rFonts w:ascii="Times New Roman" w:eastAsia="Times New Roman" w:hAnsi="Times New Roman" w:cs="Times New Roman"/>
          <w:color w:val="27251E"/>
          <w:kern w:val="0"/>
          <w:lang w:eastAsia="it-IT"/>
          <w14:ligatures w14:val="none"/>
        </w:rPr>
        <w:t xml:space="preserve"> ha anche rappresentato un'opportunità – che è stata infine sfuggita – </w:t>
      </w:r>
      <w:r w:rsidRPr="004F76E5">
        <w:rPr>
          <w:rFonts w:ascii="Times New Roman" w:eastAsia="Times New Roman" w:hAnsi="Times New Roman" w:cs="Times New Roman"/>
          <w:b/>
          <w:bCs/>
          <w:color w:val="27251E"/>
          <w:kern w:val="0"/>
          <w:lang w:eastAsia="it-IT"/>
          <w14:ligatures w14:val="none"/>
        </w:rPr>
        <w:t>per esaminare se la vittimizzazione secondaria possa derivare da fallimenti attribuibili non solo alle autorità di giustizia penale, ma anche a un tribunale civile, ovvero il Tribunale dei minori nelle circostanze attuali.</w:t>
      </w:r>
    </w:p>
    <w:p w14:paraId="3F3D95F6"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2. È vero che, nella giurisprudenza finora presentata dalla Corte, la nozione di vittimizzazione secondaria è emersa principalmente nel contesto dei procedimenti penali. In tale contesto, la Corte ha identificato tale vittimizzazione come risultante, </w:t>
      </w:r>
      <w:r w:rsidRPr="004F76E5">
        <w:rPr>
          <w:rFonts w:ascii="Times New Roman" w:eastAsia="Times New Roman" w:hAnsi="Times New Roman" w:cs="Times New Roman"/>
          <w:i/>
          <w:iCs/>
          <w:color w:val="000000"/>
          <w:kern w:val="0"/>
          <w:lang w:eastAsia="it-IT"/>
          <w14:ligatures w14:val="none"/>
        </w:rPr>
        <w:t>tra l'altro</w:t>
      </w:r>
      <w:r w:rsidRPr="004F76E5">
        <w:rPr>
          <w:rFonts w:ascii="Times New Roman" w:eastAsia="Times New Roman" w:hAnsi="Times New Roman" w:cs="Times New Roman"/>
          <w:color w:val="000000"/>
          <w:kern w:val="0"/>
          <w:lang w:eastAsia="it-IT"/>
          <w14:ligatures w14:val="none"/>
        </w:rPr>
        <w:t xml:space="preserve">, da </w:t>
      </w:r>
      <w:bookmarkStart w:id="65" w:name="_Hlk234141028"/>
      <w:r w:rsidRPr="004F76E5">
        <w:rPr>
          <w:rFonts w:ascii="Times New Roman" w:eastAsia="Times New Roman" w:hAnsi="Times New Roman" w:cs="Times New Roman"/>
          <w:color w:val="000000"/>
          <w:kern w:val="0"/>
          <w:lang w:eastAsia="it-IT"/>
          <w14:ligatures w14:val="none"/>
        </w:rPr>
        <w:t>domande irrispettose o insensibili da parte delle autorità investigative</w:t>
      </w:r>
      <w:bookmarkStart w:id="66" w:name="_ftnref1"/>
      <w:bookmarkEnd w:id="65"/>
      <w:bookmarkEnd w:id="66"/>
      <w:r w:rsidRPr="004F76E5">
        <w:rPr>
          <w:rFonts w:ascii="Times New Roman" w:eastAsia="Times New Roman" w:hAnsi="Times New Roman" w:cs="Times New Roman"/>
          <w:color w:val="000000"/>
          <w:kern w:val="0"/>
          <w:lang w:eastAsia="it-IT"/>
          <w14:ligatures w14:val="none"/>
        </w:rPr>
        <w:fldChar w:fldCharType="begin"/>
      </w:r>
      <w:r w:rsidRPr="004F76E5">
        <w:rPr>
          <w:rFonts w:ascii="Times New Roman" w:eastAsia="Times New Roman" w:hAnsi="Times New Roman" w:cs="Times New Roman"/>
          <w:color w:val="000000"/>
          <w:kern w:val="0"/>
          <w:lang w:eastAsia="it-IT"/>
          <w14:ligatures w14:val="none"/>
        </w:rPr>
        <w:instrText>HYPERLINK "https://hudoc.echr.coe.int/" \l "_ftn1" \t "_self"</w:instrText>
      </w:r>
      <w:r w:rsidRPr="004F76E5">
        <w:rPr>
          <w:rFonts w:ascii="Times New Roman" w:eastAsia="Times New Roman" w:hAnsi="Times New Roman" w:cs="Times New Roman"/>
          <w:color w:val="000000"/>
          <w:kern w:val="0"/>
          <w:lang w:eastAsia="it-IT"/>
          <w14:ligatures w14:val="none"/>
        </w:rPr>
      </w:r>
      <w:r w:rsidRPr="004F76E5">
        <w:rPr>
          <w:rFonts w:ascii="Times New Roman" w:eastAsia="Times New Roman" w:hAnsi="Times New Roman" w:cs="Times New Roman"/>
          <w:color w:val="000000"/>
          <w:kern w:val="0"/>
          <w:lang w:eastAsia="it-IT"/>
          <w14:ligatures w14:val="none"/>
        </w:rPr>
        <w:fldChar w:fldCharType="separate"/>
      </w:r>
      <w:r w:rsidRPr="004F76E5">
        <w:rPr>
          <w:rFonts w:ascii="Times New Roman" w:eastAsia="Times New Roman" w:hAnsi="Times New Roman" w:cs="Times New Roman"/>
          <w:color w:val="000000"/>
          <w:kern w:val="0"/>
          <w:sz w:val="16"/>
          <w:szCs w:val="16"/>
          <w:lang w:eastAsia="it-IT"/>
          <w14:ligatures w14:val="none"/>
        </w:rPr>
        <w:t>[1]</w:t>
      </w:r>
      <w:r w:rsidRPr="004F76E5">
        <w:rPr>
          <w:rFonts w:ascii="Times New Roman" w:eastAsia="Times New Roman" w:hAnsi="Times New Roman" w:cs="Times New Roman"/>
          <w:color w:val="000000"/>
          <w:kern w:val="0"/>
          <w:lang w:eastAsia="it-IT"/>
          <w14:ligatures w14:val="none"/>
        </w:rPr>
        <w:fldChar w:fldCharType="end"/>
      </w:r>
      <w:r w:rsidRPr="004F76E5">
        <w:rPr>
          <w:rFonts w:ascii="Times New Roman" w:eastAsia="Times New Roman" w:hAnsi="Times New Roman" w:cs="Times New Roman"/>
          <w:color w:val="000000"/>
          <w:kern w:val="0"/>
          <w:lang w:eastAsia="it-IT"/>
          <w14:ligatures w14:val="none"/>
        </w:rPr>
        <w:t xml:space="preserve">, </w:t>
      </w:r>
      <w:bookmarkStart w:id="67" w:name="_Hlk234141099"/>
      <w:r w:rsidRPr="004F76E5">
        <w:rPr>
          <w:rFonts w:ascii="Times New Roman" w:eastAsia="Times New Roman" w:hAnsi="Times New Roman" w:cs="Times New Roman"/>
          <w:color w:val="000000"/>
          <w:kern w:val="0"/>
          <w:lang w:eastAsia="it-IT"/>
          <w14:ligatures w14:val="none"/>
        </w:rPr>
        <w:t>mancata assunzione di adeguate misure contestuali durante l'indagine</w:t>
      </w:r>
      <w:bookmarkStart w:id="68" w:name="_ftnref2"/>
      <w:bookmarkEnd w:id="68"/>
      <w:r w:rsidRPr="004F76E5">
        <w:rPr>
          <w:rFonts w:ascii="Times New Roman" w:eastAsia="Times New Roman" w:hAnsi="Times New Roman" w:cs="Times New Roman"/>
          <w:color w:val="000000"/>
          <w:kern w:val="0"/>
          <w:lang w:eastAsia="it-IT"/>
          <w14:ligatures w14:val="none"/>
        </w:rPr>
        <w:fldChar w:fldCharType="begin"/>
      </w:r>
      <w:r w:rsidRPr="004F76E5">
        <w:rPr>
          <w:rFonts w:ascii="Times New Roman" w:eastAsia="Times New Roman" w:hAnsi="Times New Roman" w:cs="Times New Roman"/>
          <w:color w:val="000000"/>
          <w:kern w:val="0"/>
          <w:lang w:eastAsia="it-IT"/>
          <w14:ligatures w14:val="none"/>
        </w:rPr>
        <w:instrText>HYPERLINK "https://hudoc.echr.coe.int/" \l "_ftn2" \t "_self"</w:instrText>
      </w:r>
      <w:r w:rsidRPr="004F76E5">
        <w:rPr>
          <w:rFonts w:ascii="Times New Roman" w:eastAsia="Times New Roman" w:hAnsi="Times New Roman" w:cs="Times New Roman"/>
          <w:color w:val="000000"/>
          <w:kern w:val="0"/>
          <w:lang w:eastAsia="it-IT"/>
          <w14:ligatures w14:val="none"/>
        </w:rPr>
      </w:r>
      <w:r w:rsidRPr="004F76E5">
        <w:rPr>
          <w:rFonts w:ascii="Times New Roman" w:eastAsia="Times New Roman" w:hAnsi="Times New Roman" w:cs="Times New Roman"/>
          <w:color w:val="000000"/>
          <w:kern w:val="0"/>
          <w:lang w:eastAsia="it-IT"/>
          <w14:ligatures w14:val="none"/>
        </w:rPr>
        <w:fldChar w:fldCharType="separate"/>
      </w:r>
      <w:r w:rsidRPr="004F76E5">
        <w:rPr>
          <w:rFonts w:ascii="Times New Roman" w:eastAsia="Times New Roman" w:hAnsi="Times New Roman" w:cs="Times New Roman"/>
          <w:color w:val="000000"/>
          <w:kern w:val="0"/>
          <w:sz w:val="16"/>
          <w:szCs w:val="16"/>
          <w:lang w:eastAsia="it-IT"/>
          <w14:ligatures w14:val="none"/>
        </w:rPr>
        <w:t>[2]</w:t>
      </w:r>
      <w:r w:rsidRPr="004F76E5">
        <w:rPr>
          <w:rFonts w:ascii="Times New Roman" w:eastAsia="Times New Roman" w:hAnsi="Times New Roman" w:cs="Times New Roman"/>
          <w:color w:val="000000"/>
          <w:kern w:val="0"/>
          <w:lang w:eastAsia="it-IT"/>
          <w14:ligatures w14:val="none"/>
        </w:rPr>
        <w:fldChar w:fldCharType="end"/>
      </w:r>
      <w:r w:rsidRPr="004F76E5">
        <w:rPr>
          <w:rFonts w:ascii="Times New Roman" w:eastAsia="Times New Roman" w:hAnsi="Times New Roman" w:cs="Times New Roman"/>
          <w:color w:val="000000"/>
          <w:kern w:val="0"/>
          <w:lang w:eastAsia="it-IT"/>
          <w14:ligatures w14:val="none"/>
        </w:rPr>
        <w:t> o processo</w:t>
      </w:r>
      <w:bookmarkStart w:id="69" w:name="_ftnref3"/>
      <w:bookmarkEnd w:id="69"/>
      <w:r w:rsidRPr="004F76E5">
        <w:rPr>
          <w:rFonts w:ascii="Times New Roman" w:eastAsia="Times New Roman" w:hAnsi="Times New Roman" w:cs="Times New Roman"/>
          <w:color w:val="000000"/>
          <w:kern w:val="0"/>
          <w:lang w:eastAsia="it-IT"/>
          <w14:ligatures w14:val="none"/>
        </w:rPr>
        <w:fldChar w:fldCharType="begin"/>
      </w:r>
      <w:r w:rsidRPr="004F76E5">
        <w:rPr>
          <w:rFonts w:ascii="Times New Roman" w:eastAsia="Times New Roman" w:hAnsi="Times New Roman" w:cs="Times New Roman"/>
          <w:color w:val="000000"/>
          <w:kern w:val="0"/>
          <w:lang w:eastAsia="it-IT"/>
          <w14:ligatures w14:val="none"/>
        </w:rPr>
        <w:instrText>HYPERLINK "https://hudoc.echr.coe.int/" \l "_ftn3" \t "_self"</w:instrText>
      </w:r>
      <w:r w:rsidRPr="004F76E5">
        <w:rPr>
          <w:rFonts w:ascii="Times New Roman" w:eastAsia="Times New Roman" w:hAnsi="Times New Roman" w:cs="Times New Roman"/>
          <w:color w:val="000000"/>
          <w:kern w:val="0"/>
          <w:lang w:eastAsia="it-IT"/>
          <w14:ligatures w14:val="none"/>
        </w:rPr>
      </w:r>
      <w:r w:rsidRPr="004F76E5">
        <w:rPr>
          <w:rFonts w:ascii="Times New Roman" w:eastAsia="Times New Roman" w:hAnsi="Times New Roman" w:cs="Times New Roman"/>
          <w:color w:val="000000"/>
          <w:kern w:val="0"/>
          <w:lang w:eastAsia="it-IT"/>
          <w14:ligatures w14:val="none"/>
        </w:rPr>
        <w:fldChar w:fldCharType="separate"/>
      </w:r>
      <w:r w:rsidRPr="004F76E5">
        <w:rPr>
          <w:rFonts w:ascii="Times New Roman" w:eastAsia="Times New Roman" w:hAnsi="Times New Roman" w:cs="Times New Roman"/>
          <w:color w:val="000000"/>
          <w:kern w:val="0"/>
          <w:sz w:val="16"/>
          <w:szCs w:val="16"/>
          <w:lang w:eastAsia="it-IT"/>
          <w14:ligatures w14:val="none"/>
        </w:rPr>
        <w:t>[3]</w:t>
      </w:r>
      <w:r w:rsidRPr="004F76E5">
        <w:rPr>
          <w:rFonts w:ascii="Times New Roman" w:eastAsia="Times New Roman" w:hAnsi="Times New Roman" w:cs="Times New Roman"/>
          <w:color w:val="000000"/>
          <w:kern w:val="0"/>
          <w:lang w:eastAsia="it-IT"/>
          <w14:ligatures w14:val="none"/>
        </w:rPr>
        <w:fldChar w:fldCharType="end"/>
      </w:r>
      <w:r w:rsidRPr="004F76E5">
        <w:rPr>
          <w:rFonts w:ascii="Times New Roman" w:eastAsia="Times New Roman" w:hAnsi="Times New Roman" w:cs="Times New Roman"/>
          <w:color w:val="000000"/>
          <w:kern w:val="0"/>
          <w:lang w:eastAsia="it-IT"/>
          <w14:ligatures w14:val="none"/>
        </w:rPr>
        <w:t>, e un linguaggio usato nelle decisioni dei tribunali penali che si è ritenuto come perpetuato/riprodotto stereotipi sessisti o minimizzando la violenza di genere</w:t>
      </w:r>
      <w:bookmarkStart w:id="70" w:name="_ftnref4"/>
      <w:bookmarkEnd w:id="70"/>
      <w:r w:rsidRPr="004F76E5">
        <w:rPr>
          <w:rFonts w:ascii="Times New Roman" w:eastAsia="Times New Roman" w:hAnsi="Times New Roman" w:cs="Times New Roman"/>
          <w:color w:val="000000"/>
          <w:kern w:val="0"/>
          <w:lang w:eastAsia="it-IT"/>
          <w14:ligatures w14:val="none"/>
        </w:rPr>
        <w:fldChar w:fldCharType="begin"/>
      </w:r>
      <w:r w:rsidRPr="004F76E5">
        <w:rPr>
          <w:rFonts w:ascii="Times New Roman" w:eastAsia="Times New Roman" w:hAnsi="Times New Roman" w:cs="Times New Roman"/>
          <w:color w:val="000000"/>
          <w:kern w:val="0"/>
          <w:lang w:eastAsia="it-IT"/>
          <w14:ligatures w14:val="none"/>
        </w:rPr>
        <w:instrText>HYPERLINK "https://hudoc.echr.coe.int/" \l "_ftn4" \t "_self"</w:instrText>
      </w:r>
      <w:r w:rsidRPr="004F76E5">
        <w:rPr>
          <w:rFonts w:ascii="Times New Roman" w:eastAsia="Times New Roman" w:hAnsi="Times New Roman" w:cs="Times New Roman"/>
          <w:color w:val="000000"/>
          <w:kern w:val="0"/>
          <w:lang w:eastAsia="it-IT"/>
          <w14:ligatures w14:val="none"/>
        </w:rPr>
      </w:r>
      <w:r w:rsidRPr="004F76E5">
        <w:rPr>
          <w:rFonts w:ascii="Times New Roman" w:eastAsia="Times New Roman" w:hAnsi="Times New Roman" w:cs="Times New Roman"/>
          <w:color w:val="000000"/>
          <w:kern w:val="0"/>
          <w:lang w:eastAsia="it-IT"/>
          <w14:ligatures w14:val="none"/>
        </w:rPr>
        <w:fldChar w:fldCharType="separate"/>
      </w:r>
      <w:r w:rsidRPr="004F76E5">
        <w:rPr>
          <w:rFonts w:ascii="Times New Roman" w:eastAsia="Times New Roman" w:hAnsi="Times New Roman" w:cs="Times New Roman"/>
          <w:color w:val="000000"/>
          <w:kern w:val="0"/>
          <w:sz w:val="16"/>
          <w:szCs w:val="16"/>
          <w:lang w:eastAsia="it-IT"/>
          <w14:ligatures w14:val="none"/>
        </w:rPr>
        <w:t>[4]</w:t>
      </w:r>
      <w:r w:rsidRPr="004F76E5">
        <w:rPr>
          <w:rFonts w:ascii="Times New Roman" w:eastAsia="Times New Roman" w:hAnsi="Times New Roman" w:cs="Times New Roman"/>
          <w:color w:val="000000"/>
          <w:kern w:val="0"/>
          <w:lang w:eastAsia="it-IT"/>
          <w14:ligatures w14:val="none"/>
        </w:rPr>
        <w:fldChar w:fldCharType="end"/>
      </w:r>
      <w:r w:rsidRPr="004F76E5">
        <w:rPr>
          <w:rFonts w:ascii="Times New Roman" w:eastAsia="Times New Roman" w:hAnsi="Times New Roman" w:cs="Times New Roman"/>
          <w:color w:val="000000"/>
          <w:kern w:val="0"/>
          <w:lang w:eastAsia="it-IT"/>
          <w14:ligatures w14:val="none"/>
        </w:rPr>
        <w:t xml:space="preserve">. </w:t>
      </w:r>
      <w:bookmarkEnd w:id="67"/>
      <w:r w:rsidRPr="004F76E5">
        <w:rPr>
          <w:rFonts w:ascii="Times New Roman" w:eastAsia="Times New Roman" w:hAnsi="Times New Roman" w:cs="Times New Roman"/>
          <w:color w:val="000000"/>
          <w:kern w:val="0"/>
          <w:lang w:eastAsia="it-IT"/>
          <w14:ligatures w14:val="none"/>
        </w:rPr>
        <w:t>Tuttavia, limitare il concetto di vittimizzazione secondaria esclusivamente agli atti avvenuti all'interno della catena della giustizia penale è, a mio avviso, eccessivamente restrittivo. Un tale approccio rischia di minare il requisito che la protezione contro la vittimizzazione secondaria sia pratica ed efficace, soprattutto quando altri organi giudiziari possono contribuire o perpetuare danni.</w:t>
      </w:r>
    </w:p>
    <w:p w14:paraId="38AEE5B2"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3. La raccomandazione del Comitato dei Ministri del Consiglio d'Europa (2006)8 agli Stati membri sull'assistenza alle vittime di crimini definisce, all'articolo 1 del suo appendice, vittimizzazione secondaria come vittimizzazione che avviene non come conseguenza diretta dell'atto penale, ma attraverso la risposta di istituzioni e individui alla vittima, intesa come una persona che ha subito un danno – inclusi danni fisici o mentali, sofferenze emotive o perdite economiche – derivanti da atti o omissioni che violano il diritto penale di uno Stato membro. Questa definizione non si limita alle azioni dei partecipanti all'interno della catena della giustizia penale.</w:t>
      </w:r>
    </w:p>
    <w:p w14:paraId="28AEA3A6"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4. Sebbene la vittimizzazione secondaria presupponga l'esistenza di un reato penale sottostante che generi vittimizzazione primaria, i corrispondenti obblighi positivi dello Stato non sono limitati alla condotta delle autorità di giustizia penale. Piuttosto, come evidenziato costantemente negli standard pertinenti, prevenire la vittimizzazione secondaria richiede un approccio olistico che comprenda la risposta di tutte le autorità pubbliche coinvolte.</w:t>
      </w:r>
    </w:p>
    <w:p w14:paraId="4EC8E3CE"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5. È inoltre degno di nota che il Gruppo di Esperti per l'Azione contro la Violenza contro le Donne e la Violenza Domestica (GREVIO), nei suoi numerosi rapporti di valutazione, ha affrontato esplicitamente la questione della vittimizzazione secondaria, anche nel contesto dei procedimenti civili, come quelli davanti ai tribunali minorenni. Nel suo Rapporto di Valutazione di Base sull'Italia (2020), GREVIO ha identificato come area di preoccupazione urgente la determinazione dei diritti di custodia e visita, osservando che le disposizioni legali esistenti che consentono di dare priorità, in casi di violenza contro le donne, al superiore interesse del minore rispetto al principio della genitorialità condivisa sono raramente applicate. GREVIO ha inoltre espresso preoccupazione per una tendenza sistemica a esporre alla vittimizzazione secondaria le madri che cercano di proteggere i propri figli denunciando la violenza</w:t>
      </w:r>
      <w:bookmarkStart w:id="71" w:name="_ftnref5"/>
      <w:bookmarkEnd w:id="71"/>
      <w:r w:rsidRPr="004F76E5">
        <w:rPr>
          <w:rFonts w:ascii="Times New Roman" w:eastAsia="Times New Roman" w:hAnsi="Times New Roman" w:cs="Times New Roman"/>
          <w:color w:val="000000"/>
          <w:kern w:val="0"/>
          <w:lang w:eastAsia="it-IT"/>
          <w14:ligatures w14:val="none"/>
        </w:rPr>
        <w:fldChar w:fldCharType="begin"/>
      </w:r>
      <w:r w:rsidRPr="004F76E5">
        <w:rPr>
          <w:rFonts w:ascii="Times New Roman" w:eastAsia="Times New Roman" w:hAnsi="Times New Roman" w:cs="Times New Roman"/>
          <w:color w:val="000000"/>
          <w:kern w:val="0"/>
          <w:lang w:eastAsia="it-IT"/>
          <w14:ligatures w14:val="none"/>
        </w:rPr>
        <w:instrText>HYPERLINK "https://hudoc.echr.coe.int/" \l "_ftn5" \t "_self"</w:instrText>
      </w:r>
      <w:r w:rsidRPr="004F76E5">
        <w:rPr>
          <w:rFonts w:ascii="Times New Roman" w:eastAsia="Times New Roman" w:hAnsi="Times New Roman" w:cs="Times New Roman"/>
          <w:color w:val="000000"/>
          <w:kern w:val="0"/>
          <w:lang w:eastAsia="it-IT"/>
          <w14:ligatures w14:val="none"/>
        </w:rPr>
      </w:r>
      <w:r w:rsidRPr="004F76E5">
        <w:rPr>
          <w:rFonts w:ascii="Times New Roman" w:eastAsia="Times New Roman" w:hAnsi="Times New Roman" w:cs="Times New Roman"/>
          <w:color w:val="000000"/>
          <w:kern w:val="0"/>
          <w:lang w:eastAsia="it-IT"/>
          <w14:ligatures w14:val="none"/>
        </w:rPr>
        <w:fldChar w:fldCharType="separate"/>
      </w:r>
      <w:r w:rsidRPr="004F76E5">
        <w:rPr>
          <w:rFonts w:ascii="Times New Roman" w:eastAsia="Times New Roman" w:hAnsi="Times New Roman" w:cs="Times New Roman"/>
          <w:color w:val="000000"/>
          <w:kern w:val="0"/>
          <w:sz w:val="16"/>
          <w:szCs w:val="16"/>
          <w:lang w:eastAsia="it-IT"/>
          <w14:ligatures w14:val="none"/>
        </w:rPr>
        <w:t>[5]</w:t>
      </w:r>
      <w:r w:rsidRPr="004F76E5">
        <w:rPr>
          <w:rFonts w:ascii="Times New Roman" w:eastAsia="Times New Roman" w:hAnsi="Times New Roman" w:cs="Times New Roman"/>
          <w:color w:val="000000"/>
          <w:kern w:val="0"/>
          <w:lang w:eastAsia="it-IT"/>
          <w14:ligatures w14:val="none"/>
        </w:rPr>
        <w:fldChar w:fldCharType="end"/>
      </w:r>
      <w:r w:rsidRPr="004F76E5">
        <w:rPr>
          <w:rFonts w:ascii="Times New Roman" w:eastAsia="Times New Roman" w:hAnsi="Times New Roman" w:cs="Times New Roman"/>
          <w:color w:val="000000"/>
          <w:kern w:val="0"/>
          <w:lang w:eastAsia="it-IT"/>
          <w14:ligatures w14:val="none"/>
        </w:rPr>
        <w:t>.</w:t>
      </w:r>
    </w:p>
    <w:p w14:paraId="0BD84123"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 xml:space="preserve">6. Il rapporto GREVIO sottolinea che disposizioni improprie di custodia e visite dei minori possono esporre le donne ad abusi post-separazione e vittimizzazione secondaria, e sottolinea che la </w:t>
      </w:r>
      <w:r w:rsidRPr="004F76E5">
        <w:rPr>
          <w:rFonts w:ascii="Times New Roman" w:eastAsia="Times New Roman" w:hAnsi="Times New Roman" w:cs="Times New Roman"/>
          <w:color w:val="000000"/>
          <w:kern w:val="0"/>
          <w:lang w:eastAsia="it-IT"/>
          <w14:ligatures w14:val="none"/>
        </w:rPr>
        <w:lastRenderedPageBreak/>
        <w:t>sicurezza del genitore non violento e del bambino deve essere una considerazione centrale nel determinare il miglior interesse del minore. Inoltre, GREVIO ha sottolineato con preoccupazione l'esistenza di una pratica diffusa tra i tribunali civili di non identificare, o addirittura ignorare, i casi di violenza domestica</w:t>
      </w:r>
      <w:bookmarkStart w:id="72" w:name="_ftnref6"/>
      <w:bookmarkEnd w:id="72"/>
      <w:r w:rsidRPr="004F76E5">
        <w:rPr>
          <w:rFonts w:ascii="Times New Roman" w:eastAsia="Times New Roman" w:hAnsi="Times New Roman" w:cs="Times New Roman"/>
          <w:color w:val="000000"/>
          <w:kern w:val="0"/>
          <w:lang w:eastAsia="it-IT"/>
          <w14:ligatures w14:val="none"/>
        </w:rPr>
        <w:fldChar w:fldCharType="begin"/>
      </w:r>
      <w:r w:rsidRPr="004F76E5">
        <w:rPr>
          <w:rFonts w:ascii="Times New Roman" w:eastAsia="Times New Roman" w:hAnsi="Times New Roman" w:cs="Times New Roman"/>
          <w:color w:val="000000"/>
          <w:kern w:val="0"/>
          <w:lang w:eastAsia="it-IT"/>
          <w14:ligatures w14:val="none"/>
        </w:rPr>
        <w:instrText>HYPERLINK "https://hudoc.echr.coe.int/" \l "_ftn6" \t "_self"</w:instrText>
      </w:r>
      <w:r w:rsidRPr="004F76E5">
        <w:rPr>
          <w:rFonts w:ascii="Times New Roman" w:eastAsia="Times New Roman" w:hAnsi="Times New Roman" w:cs="Times New Roman"/>
          <w:color w:val="000000"/>
          <w:kern w:val="0"/>
          <w:lang w:eastAsia="it-IT"/>
          <w14:ligatures w14:val="none"/>
        </w:rPr>
      </w:r>
      <w:r w:rsidRPr="004F76E5">
        <w:rPr>
          <w:rFonts w:ascii="Times New Roman" w:eastAsia="Times New Roman" w:hAnsi="Times New Roman" w:cs="Times New Roman"/>
          <w:color w:val="000000"/>
          <w:kern w:val="0"/>
          <w:lang w:eastAsia="it-IT"/>
          <w14:ligatures w14:val="none"/>
        </w:rPr>
        <w:fldChar w:fldCharType="separate"/>
      </w:r>
      <w:r w:rsidRPr="004F76E5">
        <w:rPr>
          <w:rFonts w:ascii="Times New Roman" w:eastAsia="Times New Roman" w:hAnsi="Times New Roman" w:cs="Times New Roman"/>
          <w:color w:val="000000"/>
          <w:kern w:val="0"/>
          <w:sz w:val="16"/>
          <w:szCs w:val="16"/>
          <w:lang w:eastAsia="it-IT"/>
          <w14:ligatures w14:val="none"/>
        </w:rPr>
        <w:t>[6]</w:t>
      </w:r>
      <w:r w:rsidRPr="004F76E5">
        <w:rPr>
          <w:rFonts w:ascii="Times New Roman" w:eastAsia="Times New Roman" w:hAnsi="Times New Roman" w:cs="Times New Roman"/>
          <w:color w:val="000000"/>
          <w:kern w:val="0"/>
          <w:lang w:eastAsia="it-IT"/>
          <w14:ligatures w14:val="none"/>
        </w:rPr>
        <w:fldChar w:fldCharType="end"/>
      </w:r>
      <w:r w:rsidRPr="004F76E5">
        <w:rPr>
          <w:rFonts w:ascii="Times New Roman" w:eastAsia="Times New Roman" w:hAnsi="Times New Roman" w:cs="Times New Roman"/>
          <w:color w:val="000000"/>
          <w:kern w:val="0"/>
          <w:lang w:eastAsia="it-IT"/>
          <w14:ligatures w14:val="none"/>
        </w:rPr>
        <w:t>.</w:t>
      </w:r>
    </w:p>
    <w:p w14:paraId="02479364"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7. Preoccupazioni simili emergono anche dal quadro del Comitato delle Nazioni Unite per l'Eliminazione della Discriminazione contro le Donne (CEDAW). Nella sua raccomandazione generale n. 35 sulla violenza di genere contro le donne, aggiornando la raccomandazione generale n. 19</w:t>
      </w:r>
      <w:bookmarkStart w:id="73" w:name="_ftnref7"/>
      <w:bookmarkEnd w:id="73"/>
      <w:r w:rsidRPr="004F76E5">
        <w:rPr>
          <w:rFonts w:ascii="Times New Roman" w:eastAsia="Times New Roman" w:hAnsi="Times New Roman" w:cs="Times New Roman"/>
          <w:color w:val="000000"/>
          <w:kern w:val="0"/>
          <w:lang w:eastAsia="it-IT"/>
          <w14:ligatures w14:val="none"/>
        </w:rPr>
        <w:fldChar w:fldCharType="begin"/>
      </w:r>
      <w:r w:rsidRPr="004F76E5">
        <w:rPr>
          <w:rFonts w:ascii="Times New Roman" w:eastAsia="Times New Roman" w:hAnsi="Times New Roman" w:cs="Times New Roman"/>
          <w:color w:val="000000"/>
          <w:kern w:val="0"/>
          <w:lang w:eastAsia="it-IT"/>
          <w14:ligatures w14:val="none"/>
        </w:rPr>
        <w:instrText>HYPERLINK "https://hudoc.echr.coe.int/" \l "_ftn7" \t "_self"</w:instrText>
      </w:r>
      <w:r w:rsidRPr="004F76E5">
        <w:rPr>
          <w:rFonts w:ascii="Times New Roman" w:eastAsia="Times New Roman" w:hAnsi="Times New Roman" w:cs="Times New Roman"/>
          <w:color w:val="000000"/>
          <w:kern w:val="0"/>
          <w:lang w:eastAsia="it-IT"/>
          <w14:ligatures w14:val="none"/>
        </w:rPr>
      </w:r>
      <w:r w:rsidRPr="004F76E5">
        <w:rPr>
          <w:rFonts w:ascii="Times New Roman" w:eastAsia="Times New Roman" w:hAnsi="Times New Roman" w:cs="Times New Roman"/>
          <w:color w:val="000000"/>
          <w:kern w:val="0"/>
          <w:lang w:eastAsia="it-IT"/>
          <w14:ligatures w14:val="none"/>
        </w:rPr>
        <w:fldChar w:fldCharType="separate"/>
      </w:r>
      <w:r w:rsidRPr="004F76E5">
        <w:rPr>
          <w:rFonts w:ascii="Times New Roman" w:eastAsia="Times New Roman" w:hAnsi="Times New Roman" w:cs="Times New Roman"/>
          <w:color w:val="0069D6"/>
          <w:kern w:val="0"/>
          <w:sz w:val="16"/>
          <w:szCs w:val="16"/>
          <w:lang w:eastAsia="it-IT"/>
          <w14:ligatures w14:val="none"/>
        </w:rPr>
        <w:t>[7]</w:t>
      </w:r>
      <w:r w:rsidRPr="004F76E5">
        <w:rPr>
          <w:rFonts w:ascii="Times New Roman" w:eastAsia="Times New Roman" w:hAnsi="Times New Roman" w:cs="Times New Roman"/>
          <w:color w:val="000000"/>
          <w:kern w:val="0"/>
          <w:lang w:eastAsia="it-IT"/>
          <w14:ligatures w14:val="none"/>
        </w:rPr>
        <w:fldChar w:fldCharType="end"/>
      </w:r>
      <w:r w:rsidRPr="004F76E5">
        <w:rPr>
          <w:rFonts w:ascii="Times New Roman" w:eastAsia="Times New Roman" w:hAnsi="Times New Roman" w:cs="Times New Roman"/>
          <w:color w:val="000000"/>
          <w:kern w:val="0"/>
          <w:lang w:eastAsia="it-IT"/>
          <w14:ligatures w14:val="none"/>
        </w:rPr>
        <w:t xml:space="preserve">, il Comitato ha sottolineato che, a livello giudiziario, tutti gli organi giudiziari (non solo nel contesto dei procedimenti penali) devono astenersi dal compiere atti o pratiche di discriminazione o violenza di genere contro le donne e devono garantire che i procedimenti non siano influenzati da stereotipi di genere. Ha inoltre affermato che le decisioni riguardanti la custodia, </w:t>
      </w:r>
      <w:proofErr w:type="gramStart"/>
      <w:r w:rsidRPr="004F76E5">
        <w:rPr>
          <w:rFonts w:ascii="Times New Roman" w:eastAsia="Times New Roman" w:hAnsi="Times New Roman" w:cs="Times New Roman"/>
          <w:color w:val="000000"/>
          <w:kern w:val="0"/>
          <w:lang w:eastAsia="it-IT"/>
          <w14:ligatures w14:val="none"/>
        </w:rPr>
        <w:t>il visita</w:t>
      </w:r>
      <w:proofErr w:type="gramEnd"/>
      <w:r w:rsidRPr="004F76E5">
        <w:rPr>
          <w:rFonts w:ascii="Times New Roman" w:eastAsia="Times New Roman" w:hAnsi="Times New Roman" w:cs="Times New Roman"/>
          <w:color w:val="000000"/>
          <w:kern w:val="0"/>
          <w:lang w:eastAsia="it-IT"/>
          <w14:ligatures w14:val="none"/>
        </w:rPr>
        <w:t>, il contatto e le visite dei figli devono essere prese alla luce dei diritti di vita e integrità fisica, sessuale e psicologica di donne e bambini e guidate dal miglior interesse del minore.</w:t>
      </w:r>
    </w:p>
    <w:p w14:paraId="0EEE153C"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8. Nel caso attuale, la prima ricorrente, nelle sue memorie iniziali, ha descritto i vari atti di violenza subiti da lei stessa e dai minori; tali episodi sono stati successivamente ribaditi dai richiedenti durante le udienze. Tuttavia, come sottolineato dalla Corte nella sua sentenza, la decisione finale non conteneva alcun riferimento alle accuse di violenza. Secondo la Corte, tale risposta istituzionale equivaleva a un totale disprezzo delle sue accuse di violenza domestica, aggravando e prolungando così la sofferenza dei richiedenti, oltre a rafforzare la loro percezione che la violenza subita fosse stata ignorata. Di conseguenza, i richiedenti hanno subito un danno, attribuibile alla condotta del Tribunale per i minori, che ha superato le conseguenze direttamente derivanti dalla violenza domestica denunciata. Questo non costituisce altro che vittimizzazione secondaria.</w:t>
      </w:r>
    </w:p>
    <w:p w14:paraId="5EB15139"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9. In conclusione, solo un approccio olistico – che comprenda le azioni di tutte le autorità statali coinvolte – può garantire una protezione efficace contro la vittimizzazione secondaria. Limitare questo obbligo all'ambito della giustizia penale rischia di lasciare notevoli lacune nella protezione, soprattutto quando altri organi giudiziari svolgono un ruolo decisivo nel plasmare l'esperienza vissuta dalle vittime. Nel caso attuale, la risposta insufficiente e tardiva del Tribunale per i minori, a mio avviso, ha fatto parte della reazione istituzionale alla situazione dei richiedenti e ha quindi contribuito alla loro vittimizzazione secondaria.</w:t>
      </w:r>
    </w:p>
    <w:p w14:paraId="5385F1EA" w14:textId="77777777" w:rsidR="00662E0E" w:rsidRPr="004F76E5" w:rsidRDefault="00662E0E" w:rsidP="00662E0E">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 </w:t>
      </w:r>
    </w:p>
    <w:p w14:paraId="549E81A9" w14:textId="77777777" w:rsidR="00662E0E" w:rsidRPr="004F76E5" w:rsidRDefault="00662E0E" w:rsidP="00662E0E">
      <w:pPr>
        <w:shd w:val="clear" w:color="auto" w:fill="FFFFFF"/>
        <w:spacing w:after="0" w:line="240" w:lineRule="auto"/>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 </w:t>
      </w:r>
    </w:p>
    <w:p w14:paraId="5FE12090"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color w:val="000000"/>
          <w:kern w:val="0"/>
          <w:lang w:eastAsia="it-IT"/>
          <w14:ligatures w14:val="none"/>
        </w:rPr>
        <w:br w:type="textWrapping" w:clear="all"/>
      </w:r>
    </w:p>
    <w:p w14:paraId="5AAB0AEE" w14:textId="77777777" w:rsidR="00662E0E" w:rsidRPr="004F76E5" w:rsidRDefault="00662E0E" w:rsidP="00662E0E">
      <w:pPr>
        <w:shd w:val="clear" w:color="auto" w:fill="FFFFFF"/>
        <w:spacing w:after="240" w:line="240" w:lineRule="auto"/>
        <w:jc w:val="center"/>
        <w:rPr>
          <w:rFonts w:ascii="Times New Roman" w:eastAsia="Times New Roman" w:hAnsi="Times New Roman" w:cs="Times New Roman"/>
          <w:color w:val="000000"/>
          <w:kern w:val="0"/>
          <w:sz w:val="28"/>
          <w:szCs w:val="28"/>
          <w:lang w:eastAsia="it-IT"/>
          <w14:ligatures w14:val="none"/>
        </w:rPr>
      </w:pPr>
      <w:r w:rsidRPr="004F76E5">
        <w:rPr>
          <w:rFonts w:ascii="Times New Roman" w:eastAsia="Times New Roman" w:hAnsi="Times New Roman" w:cs="Times New Roman"/>
          <w:color w:val="000000"/>
          <w:kern w:val="0"/>
          <w:sz w:val="28"/>
          <w:szCs w:val="28"/>
          <w:lang w:eastAsia="it-IT"/>
          <w14:ligatures w14:val="none"/>
        </w:rPr>
        <w:t>APPENDICE</w:t>
      </w:r>
    </w:p>
    <w:p w14:paraId="6ECF2566" w14:textId="77777777" w:rsidR="00662E0E" w:rsidRPr="004F76E5" w:rsidRDefault="00662E0E" w:rsidP="00662E0E">
      <w:pPr>
        <w:shd w:val="clear" w:color="auto" w:fill="FFFFFF"/>
        <w:spacing w:after="280" w:line="240" w:lineRule="auto"/>
        <w:jc w:val="center"/>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b/>
          <w:bCs/>
          <w:color w:val="000000"/>
          <w:kern w:val="0"/>
          <w:lang w:eastAsia="it-IT"/>
          <w14:ligatures w14:val="none"/>
        </w:rPr>
        <w:t>Elenco dei candidati:</w:t>
      </w:r>
    </w:p>
    <w:tbl>
      <w:tblPr>
        <w:tblW w:w="0" w:type="auto"/>
        <w:tblCellMar>
          <w:left w:w="0" w:type="dxa"/>
          <w:right w:w="0" w:type="dxa"/>
        </w:tblCellMar>
        <w:tblLook w:val="04A0" w:firstRow="1" w:lastRow="0" w:firstColumn="1" w:lastColumn="0" w:noHBand="0" w:noVBand="1"/>
      </w:tblPr>
      <w:tblGrid>
        <w:gridCol w:w="556"/>
        <w:gridCol w:w="3528"/>
        <w:gridCol w:w="1803"/>
        <w:gridCol w:w="1376"/>
        <w:gridCol w:w="2149"/>
      </w:tblGrid>
      <w:tr w:rsidR="00662E0E" w:rsidRPr="004F76E5" w14:paraId="577602A6" w14:textId="77777777" w:rsidTr="00662E0E">
        <w:trPr>
          <w:tblHeader/>
        </w:trPr>
        <w:tc>
          <w:tcPr>
            <w:tcW w:w="0" w:type="auto"/>
            <w:tcBorders>
              <w:top w:val="single" w:sz="6" w:space="0" w:color="838383"/>
              <w:left w:val="single" w:sz="6" w:space="0" w:color="838383"/>
              <w:bottom w:val="single" w:sz="6" w:space="0" w:color="838383"/>
              <w:right w:val="single" w:sz="6" w:space="0" w:color="838383"/>
            </w:tcBorders>
            <w:shd w:val="clear" w:color="auto" w:fill="DFDFDF"/>
            <w:tcMar>
              <w:top w:w="28" w:type="dxa"/>
              <w:left w:w="101" w:type="dxa"/>
              <w:bottom w:w="28" w:type="dxa"/>
              <w:right w:w="101" w:type="dxa"/>
            </w:tcMar>
            <w:hideMark/>
          </w:tcPr>
          <w:p w14:paraId="1BDAAB33"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b/>
                <w:bCs/>
                <w:color w:val="424242"/>
                <w:kern w:val="0"/>
                <w:lang w:eastAsia="it-IT"/>
                <w14:ligatures w14:val="none"/>
              </w:rPr>
              <w:t>No.</w:t>
            </w:r>
          </w:p>
        </w:tc>
        <w:tc>
          <w:tcPr>
            <w:tcW w:w="0" w:type="auto"/>
            <w:tcBorders>
              <w:top w:val="single" w:sz="6" w:space="0" w:color="838383"/>
              <w:left w:val="single" w:sz="6" w:space="0" w:color="838383"/>
              <w:bottom w:val="single" w:sz="6" w:space="0" w:color="838383"/>
              <w:right w:val="single" w:sz="6" w:space="0" w:color="838383"/>
            </w:tcBorders>
            <w:shd w:val="clear" w:color="auto" w:fill="DFDFDF"/>
            <w:tcMar>
              <w:top w:w="28" w:type="dxa"/>
              <w:left w:w="101" w:type="dxa"/>
              <w:bottom w:w="28" w:type="dxa"/>
              <w:right w:w="101" w:type="dxa"/>
            </w:tcMar>
            <w:hideMark/>
          </w:tcPr>
          <w:p w14:paraId="2EE681CB"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b/>
                <w:bCs/>
                <w:color w:val="424242"/>
                <w:kern w:val="0"/>
                <w:lang w:eastAsia="it-IT"/>
                <w14:ligatures w14:val="none"/>
              </w:rPr>
              <w:t>Nome del richiedente</w:t>
            </w:r>
          </w:p>
        </w:tc>
        <w:tc>
          <w:tcPr>
            <w:tcW w:w="0" w:type="auto"/>
            <w:tcBorders>
              <w:top w:val="single" w:sz="6" w:space="0" w:color="838383"/>
              <w:left w:val="single" w:sz="6" w:space="0" w:color="838383"/>
              <w:bottom w:val="single" w:sz="6" w:space="0" w:color="838383"/>
              <w:right w:val="single" w:sz="6" w:space="0" w:color="838383"/>
            </w:tcBorders>
            <w:shd w:val="clear" w:color="auto" w:fill="DFDFDF"/>
            <w:tcMar>
              <w:top w:w="28" w:type="dxa"/>
              <w:left w:w="101" w:type="dxa"/>
              <w:bottom w:w="28" w:type="dxa"/>
              <w:right w:w="101" w:type="dxa"/>
            </w:tcMar>
            <w:hideMark/>
          </w:tcPr>
          <w:p w14:paraId="5C0E2069"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b/>
                <w:bCs/>
                <w:color w:val="424242"/>
                <w:kern w:val="0"/>
                <w:lang w:eastAsia="it-IT"/>
                <w14:ligatures w14:val="none"/>
              </w:rPr>
              <w:t>Anno di nascita</w:t>
            </w:r>
          </w:p>
        </w:tc>
        <w:tc>
          <w:tcPr>
            <w:tcW w:w="0" w:type="auto"/>
            <w:tcBorders>
              <w:top w:val="single" w:sz="6" w:space="0" w:color="838383"/>
              <w:left w:val="single" w:sz="6" w:space="0" w:color="838383"/>
              <w:bottom w:val="single" w:sz="6" w:space="0" w:color="838383"/>
              <w:right w:val="single" w:sz="6" w:space="0" w:color="838383"/>
            </w:tcBorders>
            <w:shd w:val="clear" w:color="auto" w:fill="DFDFDF"/>
            <w:tcMar>
              <w:top w:w="28" w:type="dxa"/>
              <w:left w:w="101" w:type="dxa"/>
              <w:bottom w:w="28" w:type="dxa"/>
              <w:right w:w="101" w:type="dxa"/>
            </w:tcMar>
            <w:hideMark/>
          </w:tcPr>
          <w:p w14:paraId="24FE49EB"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b/>
                <w:bCs/>
                <w:color w:val="424242"/>
                <w:kern w:val="0"/>
                <w:lang w:eastAsia="it-IT"/>
                <w14:ligatures w14:val="none"/>
              </w:rPr>
              <w:t>Nazionalità</w:t>
            </w:r>
          </w:p>
        </w:tc>
        <w:tc>
          <w:tcPr>
            <w:tcW w:w="0" w:type="auto"/>
            <w:tcBorders>
              <w:top w:val="single" w:sz="6" w:space="0" w:color="838383"/>
              <w:left w:val="single" w:sz="6" w:space="0" w:color="838383"/>
              <w:bottom w:val="single" w:sz="6" w:space="0" w:color="838383"/>
              <w:right w:val="single" w:sz="6" w:space="0" w:color="838383"/>
            </w:tcBorders>
            <w:shd w:val="clear" w:color="auto" w:fill="DFDFDF"/>
            <w:tcMar>
              <w:top w:w="28" w:type="dxa"/>
              <w:left w:w="101" w:type="dxa"/>
              <w:bottom w:w="28" w:type="dxa"/>
              <w:right w:w="101" w:type="dxa"/>
            </w:tcMar>
            <w:hideMark/>
          </w:tcPr>
          <w:p w14:paraId="4A6673D1"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b/>
                <w:bCs/>
                <w:color w:val="424242"/>
                <w:kern w:val="0"/>
                <w:lang w:eastAsia="it-IT"/>
                <w14:ligatures w14:val="none"/>
              </w:rPr>
              <w:t>Luogo di residenza</w:t>
            </w:r>
          </w:p>
        </w:tc>
      </w:tr>
      <w:tr w:rsidR="00662E0E" w:rsidRPr="004F76E5" w14:paraId="489A1E22" w14:textId="77777777" w:rsidTr="00662E0E">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65507F75"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1.</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5C368D95"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Audrey Carmen Manuela UBEDA</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33E2846A"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1983</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13FEB6F2"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Francese</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2DBD0CA0"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Pellezzano</w:t>
            </w:r>
          </w:p>
        </w:tc>
      </w:tr>
      <w:tr w:rsidR="00662E0E" w:rsidRPr="004F76E5" w14:paraId="5BE2C29B" w14:textId="77777777" w:rsidTr="00662E0E">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5B82C72E"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2.</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43201ED4"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A.P.</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424B932B"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2011</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68599E87"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Francese</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51238CF0"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Pellezzano</w:t>
            </w:r>
          </w:p>
        </w:tc>
      </w:tr>
      <w:tr w:rsidR="00662E0E" w:rsidRPr="004F76E5" w14:paraId="4186CA6A" w14:textId="77777777" w:rsidTr="00662E0E">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255091F9"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3.</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1EFCB2E2"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M.P.</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5F674F22"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2014</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1953ACB0"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Francese</w:t>
            </w:r>
          </w:p>
        </w:tc>
        <w:tc>
          <w:tcPr>
            <w:tcW w:w="0" w:type="auto"/>
            <w:tcBorders>
              <w:top w:val="single" w:sz="6" w:space="0" w:color="838383"/>
              <w:left w:val="single" w:sz="6" w:space="0" w:color="838383"/>
              <w:bottom w:val="single" w:sz="6" w:space="0" w:color="838383"/>
              <w:right w:val="single" w:sz="6" w:space="0" w:color="838383"/>
            </w:tcBorders>
            <w:shd w:val="clear" w:color="auto" w:fill="auto"/>
            <w:tcMar>
              <w:top w:w="28" w:type="dxa"/>
              <w:left w:w="101" w:type="dxa"/>
              <w:bottom w:w="28" w:type="dxa"/>
              <w:right w:w="101" w:type="dxa"/>
            </w:tcMar>
            <w:hideMark/>
          </w:tcPr>
          <w:p w14:paraId="3A148D8A" w14:textId="77777777" w:rsidR="00662E0E" w:rsidRPr="004F76E5" w:rsidRDefault="00662E0E" w:rsidP="00662E0E">
            <w:pPr>
              <w:spacing w:after="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t>Pellezzano</w:t>
            </w:r>
          </w:p>
        </w:tc>
      </w:tr>
    </w:tbl>
    <w:p w14:paraId="6B1011D5" w14:textId="77777777" w:rsidR="00662E0E" w:rsidRPr="004F76E5" w:rsidRDefault="00662E0E" w:rsidP="00662E0E">
      <w:pPr>
        <w:shd w:val="clear" w:color="auto" w:fill="FFFFFF"/>
        <w:spacing w:after="0" w:line="240" w:lineRule="auto"/>
        <w:rPr>
          <w:rFonts w:ascii="Times New Roman" w:eastAsia="Times New Roman" w:hAnsi="Times New Roman" w:cs="Times New Roman"/>
          <w:color w:val="000000"/>
          <w:kern w:val="0"/>
          <w:lang w:eastAsia="it-IT"/>
          <w14:ligatures w14:val="none"/>
        </w:rPr>
      </w:pPr>
      <w:r w:rsidRPr="004F76E5">
        <w:rPr>
          <w:rFonts w:ascii="Times New Roman" w:eastAsia="Times New Roman" w:hAnsi="Times New Roman" w:cs="Times New Roman"/>
          <w:color w:val="000000"/>
          <w:kern w:val="0"/>
          <w:lang w:eastAsia="it-IT"/>
          <w14:ligatures w14:val="none"/>
        </w:rPr>
        <w:t> </w:t>
      </w:r>
    </w:p>
    <w:p w14:paraId="62890399" w14:textId="77777777" w:rsidR="00662E0E" w:rsidRPr="004F76E5" w:rsidRDefault="00000000" w:rsidP="00662E0E">
      <w:pPr>
        <w:spacing w:before="300" w:after="300" w:line="240" w:lineRule="auto"/>
        <w:rPr>
          <w:rFonts w:ascii="Times New Roman" w:eastAsia="Times New Roman" w:hAnsi="Times New Roman" w:cs="Times New Roman"/>
          <w:kern w:val="0"/>
          <w:lang w:eastAsia="it-IT"/>
          <w14:ligatures w14:val="none"/>
        </w:rPr>
      </w:pPr>
      <w:r w:rsidRPr="004F76E5">
        <w:rPr>
          <w:rFonts w:ascii="Times New Roman" w:eastAsia="Times New Roman" w:hAnsi="Times New Roman" w:cs="Times New Roman"/>
          <w:kern w:val="0"/>
          <w:lang w:eastAsia="it-IT"/>
          <w14:ligatures w14:val="none"/>
        </w:rPr>
        <w:pict w14:anchorId="2EF2111F">
          <v:rect id="_x0000_i1025" style="width:449.7pt;height:.75pt" o:hrpct="0" o:hrstd="t" o:hr="t" fillcolor="#a0a0a0" stroked="f"/>
        </w:pict>
      </w:r>
    </w:p>
    <w:p w14:paraId="3D5C0216" w14:textId="77777777" w:rsidR="00662E0E" w:rsidRPr="004F76E5" w:rsidRDefault="00000000" w:rsidP="00662E0E">
      <w:pPr>
        <w:shd w:val="clear" w:color="auto" w:fill="FFFFFF"/>
        <w:spacing w:after="0" w:line="240" w:lineRule="auto"/>
        <w:jc w:val="both"/>
        <w:rPr>
          <w:rFonts w:ascii="Times New Roman" w:eastAsia="Times New Roman" w:hAnsi="Times New Roman" w:cs="Times New Roman"/>
          <w:color w:val="000000"/>
          <w:kern w:val="0"/>
          <w:sz w:val="22"/>
          <w:szCs w:val="22"/>
          <w:lang w:eastAsia="it-IT"/>
          <w14:ligatures w14:val="none"/>
        </w:rPr>
      </w:pPr>
      <w:hyperlink r:id="rId50" w:anchor="_ftnref1" w:tgtFrame="_self" w:history="1">
        <w:r w:rsidR="00662E0E" w:rsidRPr="004F76E5">
          <w:rPr>
            <w:rFonts w:ascii="Times New Roman" w:eastAsia="Times New Roman" w:hAnsi="Times New Roman" w:cs="Times New Roman"/>
            <w:color w:val="0069D6"/>
            <w:kern w:val="0"/>
            <w:sz w:val="13"/>
            <w:szCs w:val="13"/>
            <w:lang w:eastAsia="it-IT"/>
            <w14:ligatures w14:val="none"/>
          </w:rPr>
          <w:t>[1]</w:t>
        </w:r>
      </w:hyperlink>
      <w:r w:rsidR="00662E0E" w:rsidRPr="004F76E5">
        <w:rPr>
          <w:rFonts w:ascii="Times New Roman" w:eastAsia="Times New Roman" w:hAnsi="Times New Roman" w:cs="Times New Roman"/>
          <w:color w:val="000000"/>
          <w:kern w:val="0"/>
          <w:sz w:val="20"/>
          <w:szCs w:val="20"/>
          <w:lang w:eastAsia="it-IT"/>
          <w14:ligatures w14:val="none"/>
        </w:rPr>
        <w:t>  Vedi, ad esempio, </w:t>
      </w:r>
      <w:bookmarkStart w:id="74" w:name="_cl44673"/>
      <w:r w:rsidR="00662E0E" w:rsidRPr="004F76E5">
        <w:rPr>
          <w:rFonts w:ascii="Times New Roman" w:eastAsia="Times New Roman" w:hAnsi="Times New Roman" w:cs="Times New Roman"/>
          <w:i/>
          <w:iCs/>
          <w:color w:val="000000"/>
          <w:kern w:val="0"/>
          <w:sz w:val="20"/>
          <w:szCs w:val="20"/>
          <w:lang w:eastAsia="it-IT"/>
          <w14:ligatures w14:val="none"/>
        </w:rPr>
        <w:t>I.C. contro la Repubblica di Moldova</w:t>
      </w:r>
      <w:bookmarkEnd w:id="74"/>
      <w:r w:rsidR="00662E0E" w:rsidRPr="004F76E5">
        <w:rPr>
          <w:rFonts w:ascii="Times New Roman" w:eastAsia="Times New Roman" w:hAnsi="Times New Roman" w:cs="Times New Roman"/>
          <w:color w:val="000000"/>
          <w:kern w:val="0"/>
          <w:sz w:val="20"/>
          <w:szCs w:val="20"/>
          <w:lang w:eastAsia="it-IT"/>
          <w14:ligatures w14:val="none"/>
        </w:rPr>
        <w:t>, n. </w:t>
      </w:r>
      <w:hyperlink r:id="rId51" w:anchor="{%22appno%22:[%2236436/22%22]}" w:tgtFrame="_blank" w:history="1">
        <w:r w:rsidR="00662E0E" w:rsidRPr="004F76E5">
          <w:rPr>
            <w:rFonts w:ascii="Times New Roman" w:eastAsia="Times New Roman" w:hAnsi="Times New Roman" w:cs="Times New Roman"/>
            <w:color w:val="0069D6"/>
            <w:kern w:val="0"/>
            <w:sz w:val="20"/>
            <w:szCs w:val="20"/>
            <w:u w:val="single"/>
            <w:lang w:eastAsia="it-IT"/>
            <w14:ligatures w14:val="none"/>
          </w:rPr>
          <w:t>36436/22,</w:t>
        </w:r>
      </w:hyperlink>
      <w:r w:rsidR="00662E0E" w:rsidRPr="004F76E5">
        <w:rPr>
          <w:rFonts w:ascii="Times New Roman" w:eastAsia="Times New Roman" w:hAnsi="Times New Roman" w:cs="Times New Roman"/>
          <w:color w:val="000000"/>
          <w:kern w:val="0"/>
          <w:sz w:val="20"/>
          <w:szCs w:val="20"/>
          <w:lang w:eastAsia="it-IT"/>
          <w14:ligatures w14:val="none"/>
        </w:rPr>
        <w:t> §§ 199-200, 27 febbraio 2025 (polizia e assistente sociale); </w:t>
      </w:r>
      <w:r w:rsidR="00662E0E" w:rsidRPr="004F76E5">
        <w:rPr>
          <w:rFonts w:ascii="Times New Roman" w:eastAsia="Times New Roman" w:hAnsi="Times New Roman" w:cs="Times New Roman"/>
          <w:i/>
          <w:iCs/>
          <w:color w:val="000000"/>
          <w:kern w:val="0"/>
          <w:sz w:val="20"/>
          <w:szCs w:val="20"/>
          <w:lang w:eastAsia="it-IT"/>
          <w14:ligatures w14:val="none"/>
        </w:rPr>
        <w:t>X contro Georgia</w:t>
      </w:r>
      <w:r w:rsidR="00662E0E" w:rsidRPr="004F76E5">
        <w:rPr>
          <w:rFonts w:ascii="Times New Roman" w:eastAsia="Times New Roman" w:hAnsi="Times New Roman" w:cs="Times New Roman"/>
          <w:color w:val="000000"/>
          <w:kern w:val="0"/>
          <w:sz w:val="22"/>
          <w:szCs w:val="22"/>
          <w:lang w:eastAsia="it-IT"/>
          <w14:ligatures w14:val="none"/>
        </w:rPr>
        <w:t>,</w:t>
      </w:r>
      <w:r w:rsidR="00662E0E" w:rsidRPr="004F76E5">
        <w:rPr>
          <w:rFonts w:ascii="Times New Roman" w:eastAsia="Times New Roman" w:hAnsi="Times New Roman" w:cs="Times New Roman"/>
          <w:color w:val="000000"/>
          <w:kern w:val="0"/>
          <w:sz w:val="20"/>
          <w:szCs w:val="20"/>
          <w:lang w:eastAsia="it-IT"/>
          <w14:ligatures w14:val="none"/>
        </w:rPr>
        <w:t> no. </w:t>
      </w:r>
      <w:hyperlink r:id="rId52" w:anchor="{%22appno%22:[%2235640/22%22]}" w:tgtFrame="_blank" w:history="1">
        <w:r w:rsidR="00662E0E" w:rsidRPr="004F76E5">
          <w:rPr>
            <w:rFonts w:ascii="Times New Roman" w:eastAsia="Times New Roman" w:hAnsi="Times New Roman" w:cs="Times New Roman"/>
            <w:color w:val="0069D6"/>
            <w:kern w:val="0"/>
            <w:sz w:val="20"/>
            <w:szCs w:val="20"/>
            <w:u w:val="single"/>
            <w:lang w:eastAsia="it-IT"/>
            <w14:ligatures w14:val="none"/>
          </w:rPr>
          <w:t>35640/22,</w:t>
        </w:r>
      </w:hyperlink>
      <w:r w:rsidR="00662E0E" w:rsidRPr="004F76E5">
        <w:rPr>
          <w:rFonts w:ascii="Times New Roman" w:eastAsia="Times New Roman" w:hAnsi="Times New Roman" w:cs="Times New Roman"/>
          <w:color w:val="000000"/>
          <w:kern w:val="0"/>
          <w:sz w:val="20"/>
          <w:szCs w:val="20"/>
          <w:lang w:eastAsia="it-IT"/>
          <w14:ligatures w14:val="none"/>
        </w:rPr>
        <w:t> §§ 128-29, non ancora definitivo (investigatori); e </w:t>
      </w:r>
      <w:r w:rsidR="00662E0E" w:rsidRPr="004F76E5">
        <w:rPr>
          <w:rFonts w:ascii="Times New Roman" w:eastAsia="Times New Roman" w:hAnsi="Times New Roman" w:cs="Times New Roman"/>
          <w:i/>
          <w:iCs/>
          <w:color w:val="000000"/>
          <w:kern w:val="0"/>
          <w:sz w:val="20"/>
          <w:szCs w:val="20"/>
          <w:lang w:eastAsia="it-IT"/>
          <w14:ligatures w14:val="none"/>
        </w:rPr>
        <w:t>C. contro Romania</w:t>
      </w:r>
      <w:r w:rsidR="00662E0E" w:rsidRPr="004F76E5">
        <w:rPr>
          <w:rFonts w:ascii="Times New Roman" w:eastAsia="Times New Roman" w:hAnsi="Times New Roman" w:cs="Times New Roman"/>
          <w:color w:val="000000"/>
          <w:kern w:val="0"/>
          <w:sz w:val="20"/>
          <w:szCs w:val="20"/>
          <w:lang w:eastAsia="it-IT"/>
          <w14:ligatures w14:val="none"/>
        </w:rPr>
        <w:t>, n. </w:t>
      </w:r>
      <w:hyperlink r:id="rId53" w:anchor="{%22appno%22:[%2247358/20%22]}" w:tgtFrame="_blank" w:history="1">
        <w:r w:rsidR="00662E0E" w:rsidRPr="004F76E5">
          <w:rPr>
            <w:rFonts w:ascii="Times New Roman" w:eastAsia="Times New Roman" w:hAnsi="Times New Roman" w:cs="Times New Roman"/>
            <w:color w:val="0069D6"/>
            <w:kern w:val="0"/>
            <w:sz w:val="20"/>
            <w:szCs w:val="20"/>
            <w:u w:val="single"/>
            <w:lang w:eastAsia="it-IT"/>
            <w14:ligatures w14:val="none"/>
          </w:rPr>
          <w:t>47358/20</w:t>
        </w:r>
      </w:hyperlink>
      <w:r w:rsidR="00662E0E" w:rsidRPr="004F76E5">
        <w:rPr>
          <w:rFonts w:ascii="Times New Roman" w:eastAsia="Times New Roman" w:hAnsi="Times New Roman" w:cs="Times New Roman"/>
          <w:color w:val="000000"/>
          <w:kern w:val="0"/>
          <w:sz w:val="20"/>
          <w:szCs w:val="20"/>
          <w:lang w:eastAsia="it-IT"/>
          <w14:ligatures w14:val="none"/>
        </w:rPr>
        <w:t>, § 83, 30 agosto 2022 (procuratore).</w:t>
      </w:r>
    </w:p>
    <w:p w14:paraId="0DC8E95A" w14:textId="77777777" w:rsidR="00662E0E" w:rsidRPr="004F76E5" w:rsidRDefault="00000000" w:rsidP="00662E0E">
      <w:pPr>
        <w:shd w:val="clear" w:color="auto" w:fill="FFFFFF"/>
        <w:spacing w:after="0" w:line="240" w:lineRule="auto"/>
        <w:jc w:val="both"/>
        <w:rPr>
          <w:rFonts w:ascii="Times New Roman" w:eastAsia="Times New Roman" w:hAnsi="Times New Roman" w:cs="Times New Roman"/>
          <w:color w:val="000000"/>
          <w:kern w:val="0"/>
          <w:sz w:val="22"/>
          <w:szCs w:val="22"/>
          <w:lang w:eastAsia="it-IT"/>
          <w14:ligatures w14:val="none"/>
        </w:rPr>
      </w:pPr>
      <w:hyperlink r:id="rId54" w:anchor="_ftnref2" w:tgtFrame="_self" w:history="1">
        <w:r w:rsidR="00662E0E" w:rsidRPr="004F76E5">
          <w:rPr>
            <w:rFonts w:ascii="Times New Roman" w:eastAsia="Times New Roman" w:hAnsi="Times New Roman" w:cs="Times New Roman"/>
            <w:color w:val="0069D6"/>
            <w:kern w:val="0"/>
            <w:sz w:val="13"/>
            <w:szCs w:val="13"/>
            <w:lang w:eastAsia="it-IT"/>
            <w14:ligatures w14:val="none"/>
          </w:rPr>
          <w:t>[2]</w:t>
        </w:r>
      </w:hyperlink>
      <w:r w:rsidR="00662E0E" w:rsidRPr="004F76E5">
        <w:rPr>
          <w:rFonts w:ascii="Times New Roman" w:eastAsia="Times New Roman" w:hAnsi="Times New Roman" w:cs="Times New Roman"/>
          <w:color w:val="000000"/>
          <w:kern w:val="0"/>
          <w:sz w:val="20"/>
          <w:szCs w:val="20"/>
          <w:lang w:eastAsia="it-IT"/>
          <w14:ligatures w14:val="none"/>
        </w:rPr>
        <w:t>  Vedi, ad esempio, </w:t>
      </w:r>
      <w:r w:rsidR="00662E0E" w:rsidRPr="004F76E5">
        <w:rPr>
          <w:rFonts w:ascii="Times New Roman" w:eastAsia="Times New Roman" w:hAnsi="Times New Roman" w:cs="Times New Roman"/>
          <w:i/>
          <w:iCs/>
          <w:color w:val="000000"/>
          <w:kern w:val="0"/>
          <w:sz w:val="20"/>
          <w:szCs w:val="20"/>
          <w:lang w:eastAsia="it-IT"/>
          <w14:ligatures w14:val="none"/>
        </w:rPr>
        <w:t>X contro La Grecia</w:t>
      </w:r>
      <w:r w:rsidR="00662E0E" w:rsidRPr="004F76E5">
        <w:rPr>
          <w:rFonts w:ascii="Times New Roman" w:eastAsia="Times New Roman" w:hAnsi="Times New Roman" w:cs="Times New Roman"/>
          <w:color w:val="000000"/>
          <w:kern w:val="0"/>
          <w:sz w:val="20"/>
          <w:szCs w:val="20"/>
          <w:lang w:eastAsia="it-IT"/>
          <w14:ligatures w14:val="none"/>
        </w:rPr>
        <w:t>, no. </w:t>
      </w:r>
      <w:hyperlink r:id="rId55" w:anchor="{%22appno%22:[%2238588/21%22]}" w:tgtFrame="_blank" w:history="1">
        <w:r w:rsidR="00662E0E" w:rsidRPr="004F76E5">
          <w:rPr>
            <w:rFonts w:ascii="Times New Roman" w:eastAsia="Times New Roman" w:hAnsi="Times New Roman" w:cs="Times New Roman"/>
            <w:color w:val="0069D6"/>
            <w:kern w:val="0"/>
            <w:sz w:val="20"/>
            <w:szCs w:val="20"/>
            <w:u w:val="single"/>
            <w:lang w:eastAsia="it-IT"/>
            <w14:ligatures w14:val="none"/>
          </w:rPr>
          <w:t>38588/21</w:t>
        </w:r>
      </w:hyperlink>
      <w:r w:rsidR="00662E0E" w:rsidRPr="004F76E5">
        <w:rPr>
          <w:rFonts w:ascii="Times New Roman" w:eastAsia="Times New Roman" w:hAnsi="Times New Roman" w:cs="Times New Roman"/>
          <w:color w:val="000000"/>
          <w:kern w:val="0"/>
          <w:sz w:val="20"/>
          <w:szCs w:val="20"/>
          <w:lang w:eastAsia="it-IT"/>
          <w14:ligatures w14:val="none"/>
        </w:rPr>
        <w:t>, §§ 76-77 e 85-87, 13 febbraio 2024, e </w:t>
      </w:r>
      <w:r w:rsidR="00662E0E" w:rsidRPr="004F76E5">
        <w:rPr>
          <w:rFonts w:ascii="Times New Roman" w:eastAsia="Times New Roman" w:hAnsi="Times New Roman" w:cs="Times New Roman"/>
          <w:i/>
          <w:iCs/>
          <w:color w:val="000000"/>
          <w:kern w:val="0"/>
          <w:sz w:val="20"/>
          <w:szCs w:val="20"/>
          <w:lang w:eastAsia="it-IT"/>
          <w14:ligatures w14:val="none"/>
        </w:rPr>
        <w:t>X contro Georgia</w:t>
      </w:r>
      <w:r w:rsidR="00662E0E" w:rsidRPr="004F76E5">
        <w:rPr>
          <w:rFonts w:ascii="Times New Roman" w:eastAsia="Times New Roman" w:hAnsi="Times New Roman" w:cs="Times New Roman"/>
          <w:color w:val="000000"/>
          <w:kern w:val="0"/>
          <w:sz w:val="22"/>
          <w:szCs w:val="22"/>
          <w:lang w:eastAsia="it-IT"/>
          <w14:ligatures w14:val="none"/>
        </w:rPr>
        <w:t>,</w:t>
      </w:r>
      <w:r w:rsidR="00662E0E" w:rsidRPr="004F76E5">
        <w:rPr>
          <w:rFonts w:ascii="Times New Roman" w:eastAsia="Times New Roman" w:hAnsi="Times New Roman" w:cs="Times New Roman"/>
          <w:color w:val="000000"/>
          <w:kern w:val="0"/>
          <w:sz w:val="20"/>
          <w:szCs w:val="20"/>
          <w:lang w:eastAsia="it-IT"/>
          <w14:ligatures w14:val="none"/>
        </w:rPr>
        <w:t> citata sopra, §§ 128-29.</w:t>
      </w:r>
    </w:p>
    <w:p w14:paraId="6FACCFA0" w14:textId="77777777" w:rsidR="00662E0E" w:rsidRPr="004F76E5" w:rsidRDefault="00000000" w:rsidP="00662E0E">
      <w:pPr>
        <w:shd w:val="clear" w:color="auto" w:fill="FFFFFF"/>
        <w:spacing w:after="0" w:line="240" w:lineRule="auto"/>
        <w:jc w:val="both"/>
        <w:rPr>
          <w:rFonts w:ascii="Times New Roman" w:eastAsia="Times New Roman" w:hAnsi="Times New Roman" w:cs="Times New Roman"/>
          <w:color w:val="000000"/>
          <w:kern w:val="0"/>
          <w:sz w:val="20"/>
          <w:szCs w:val="20"/>
          <w:lang w:eastAsia="it-IT"/>
          <w14:ligatures w14:val="none"/>
        </w:rPr>
      </w:pPr>
      <w:hyperlink r:id="rId56" w:anchor="_ftnref3" w:tgtFrame="_self" w:history="1">
        <w:r w:rsidR="00662E0E" w:rsidRPr="004F76E5">
          <w:rPr>
            <w:rFonts w:ascii="Times New Roman" w:eastAsia="Times New Roman" w:hAnsi="Times New Roman" w:cs="Times New Roman"/>
            <w:color w:val="0069D6"/>
            <w:kern w:val="0"/>
            <w:sz w:val="13"/>
            <w:szCs w:val="13"/>
            <w:lang w:eastAsia="it-IT"/>
            <w14:ligatures w14:val="none"/>
          </w:rPr>
          <w:t>[3]</w:t>
        </w:r>
      </w:hyperlink>
      <w:r w:rsidR="00662E0E" w:rsidRPr="004F76E5">
        <w:rPr>
          <w:rFonts w:ascii="Times New Roman" w:eastAsia="Times New Roman" w:hAnsi="Times New Roman" w:cs="Times New Roman"/>
          <w:color w:val="000000"/>
          <w:kern w:val="0"/>
          <w:sz w:val="20"/>
          <w:szCs w:val="20"/>
          <w:lang w:eastAsia="it-IT"/>
          <w14:ligatures w14:val="none"/>
        </w:rPr>
        <w:t>  Vedi, ad esempio, </w:t>
      </w:r>
      <w:bookmarkStart w:id="75" w:name="_cl39387"/>
      <w:r w:rsidR="00662E0E" w:rsidRPr="004F76E5">
        <w:rPr>
          <w:rFonts w:ascii="Times New Roman" w:eastAsia="Times New Roman" w:hAnsi="Times New Roman" w:cs="Times New Roman"/>
          <w:i/>
          <w:iCs/>
          <w:color w:val="000000"/>
          <w:kern w:val="0"/>
          <w:sz w:val="20"/>
          <w:szCs w:val="20"/>
          <w:lang w:eastAsia="it-IT"/>
          <w14:ligatures w14:val="none"/>
        </w:rPr>
        <w:t>Y. contro Slovenia</w:t>
      </w:r>
      <w:bookmarkEnd w:id="75"/>
      <w:r w:rsidR="00662E0E" w:rsidRPr="004F76E5">
        <w:rPr>
          <w:rFonts w:ascii="Times New Roman" w:eastAsia="Times New Roman" w:hAnsi="Times New Roman" w:cs="Times New Roman"/>
          <w:color w:val="000000"/>
          <w:kern w:val="0"/>
          <w:sz w:val="20"/>
          <w:szCs w:val="20"/>
          <w:lang w:eastAsia="it-IT"/>
          <w14:ligatures w14:val="none"/>
        </w:rPr>
        <w:t>, no. </w:t>
      </w:r>
      <w:hyperlink r:id="rId57" w:anchor="{%22appno%22:[%2241107/10%22]}" w:tgtFrame="_blank" w:history="1">
        <w:r w:rsidR="00662E0E" w:rsidRPr="004F76E5">
          <w:rPr>
            <w:rFonts w:ascii="Times New Roman" w:eastAsia="Times New Roman" w:hAnsi="Times New Roman" w:cs="Times New Roman"/>
            <w:color w:val="0069D6"/>
            <w:kern w:val="0"/>
            <w:sz w:val="20"/>
            <w:szCs w:val="20"/>
            <w:u w:val="single"/>
            <w:lang w:eastAsia="it-IT"/>
            <w14:ligatures w14:val="none"/>
          </w:rPr>
          <w:t>41107/10</w:t>
        </w:r>
      </w:hyperlink>
      <w:r w:rsidR="00662E0E" w:rsidRPr="004F76E5">
        <w:rPr>
          <w:rFonts w:ascii="Times New Roman" w:eastAsia="Times New Roman" w:hAnsi="Times New Roman" w:cs="Times New Roman"/>
          <w:color w:val="000000"/>
          <w:kern w:val="0"/>
          <w:sz w:val="20"/>
          <w:szCs w:val="20"/>
          <w:lang w:eastAsia="it-IT"/>
          <w14:ligatures w14:val="none"/>
        </w:rPr>
        <w:t>, §§ 97, 101-04 e 107, CEDU 2015 (estratti).</w:t>
      </w:r>
    </w:p>
    <w:p w14:paraId="53A6143A" w14:textId="77777777" w:rsidR="00662E0E" w:rsidRPr="004F76E5" w:rsidRDefault="00000000" w:rsidP="00662E0E">
      <w:pPr>
        <w:shd w:val="clear" w:color="auto" w:fill="FFFFFF"/>
        <w:spacing w:after="0" w:line="240" w:lineRule="auto"/>
        <w:jc w:val="both"/>
        <w:rPr>
          <w:rFonts w:ascii="Times New Roman" w:eastAsia="Times New Roman" w:hAnsi="Times New Roman" w:cs="Times New Roman"/>
          <w:color w:val="000000"/>
          <w:kern w:val="0"/>
          <w:sz w:val="20"/>
          <w:szCs w:val="20"/>
          <w:lang w:eastAsia="it-IT"/>
          <w14:ligatures w14:val="none"/>
        </w:rPr>
      </w:pPr>
      <w:hyperlink r:id="rId58" w:anchor="_ftnref4" w:tgtFrame="_self" w:history="1">
        <w:r w:rsidR="00662E0E" w:rsidRPr="004F76E5">
          <w:rPr>
            <w:rFonts w:ascii="Times New Roman" w:eastAsia="Times New Roman" w:hAnsi="Times New Roman" w:cs="Times New Roman"/>
            <w:color w:val="0069D6"/>
            <w:kern w:val="0"/>
            <w:sz w:val="13"/>
            <w:szCs w:val="13"/>
            <w:lang w:eastAsia="it-IT"/>
            <w14:ligatures w14:val="none"/>
          </w:rPr>
          <w:t>[4]</w:t>
        </w:r>
      </w:hyperlink>
      <w:r w:rsidR="00662E0E" w:rsidRPr="004F76E5">
        <w:rPr>
          <w:rFonts w:ascii="Times New Roman" w:eastAsia="Times New Roman" w:hAnsi="Times New Roman" w:cs="Times New Roman"/>
          <w:color w:val="000000"/>
          <w:kern w:val="0"/>
          <w:sz w:val="20"/>
          <w:szCs w:val="20"/>
          <w:lang w:eastAsia="it-IT"/>
          <w14:ligatures w14:val="none"/>
        </w:rPr>
        <w:t>  Vedi </w:t>
      </w:r>
      <w:bookmarkStart w:id="76" w:name="_cl40740"/>
      <w:r w:rsidR="00662E0E" w:rsidRPr="004F76E5">
        <w:rPr>
          <w:rFonts w:ascii="Times New Roman" w:eastAsia="Times New Roman" w:hAnsi="Times New Roman" w:cs="Times New Roman"/>
          <w:i/>
          <w:iCs/>
          <w:color w:val="000000"/>
          <w:kern w:val="0"/>
          <w:sz w:val="20"/>
          <w:szCs w:val="20"/>
          <w:lang w:eastAsia="it-IT"/>
          <w14:ligatures w14:val="none"/>
        </w:rPr>
        <w:t>J.L. contro Italia</w:t>
      </w:r>
      <w:bookmarkEnd w:id="76"/>
      <w:r w:rsidR="00662E0E" w:rsidRPr="004F76E5">
        <w:rPr>
          <w:rFonts w:ascii="Times New Roman" w:eastAsia="Times New Roman" w:hAnsi="Times New Roman" w:cs="Times New Roman"/>
          <w:color w:val="000000"/>
          <w:kern w:val="0"/>
          <w:sz w:val="20"/>
          <w:szCs w:val="20"/>
          <w:lang w:eastAsia="it-IT"/>
          <w14:ligatures w14:val="none"/>
        </w:rPr>
        <w:t>, no. </w:t>
      </w:r>
      <w:hyperlink r:id="rId59" w:anchor="{%22appno%22:[%225671/16%22]}" w:tgtFrame="_blank" w:history="1">
        <w:r w:rsidR="00662E0E" w:rsidRPr="004F76E5">
          <w:rPr>
            <w:rFonts w:ascii="Times New Roman" w:eastAsia="Times New Roman" w:hAnsi="Times New Roman" w:cs="Times New Roman"/>
            <w:color w:val="0069D6"/>
            <w:kern w:val="0"/>
            <w:sz w:val="20"/>
            <w:szCs w:val="20"/>
            <w:u w:val="single"/>
            <w:lang w:eastAsia="it-IT"/>
            <w14:ligatures w14:val="none"/>
          </w:rPr>
          <w:t>5671/16</w:t>
        </w:r>
      </w:hyperlink>
      <w:r w:rsidR="00662E0E" w:rsidRPr="004F76E5">
        <w:rPr>
          <w:rFonts w:ascii="Times New Roman" w:eastAsia="Times New Roman" w:hAnsi="Times New Roman" w:cs="Times New Roman"/>
          <w:color w:val="000000"/>
          <w:kern w:val="0"/>
          <w:sz w:val="20"/>
          <w:szCs w:val="20"/>
          <w:lang w:eastAsia="it-IT"/>
          <w14:ligatures w14:val="none"/>
        </w:rPr>
        <w:t>, § 136, 27 maggio 2021.</w:t>
      </w:r>
    </w:p>
    <w:p w14:paraId="2562CC83" w14:textId="77777777" w:rsidR="00662E0E" w:rsidRPr="004F76E5" w:rsidRDefault="00000000" w:rsidP="00662E0E">
      <w:pPr>
        <w:shd w:val="clear" w:color="auto" w:fill="FFFFFF"/>
        <w:spacing w:after="0" w:line="240" w:lineRule="auto"/>
        <w:jc w:val="both"/>
        <w:rPr>
          <w:rFonts w:ascii="Times New Roman" w:eastAsia="Times New Roman" w:hAnsi="Times New Roman" w:cs="Times New Roman"/>
          <w:color w:val="000000"/>
          <w:kern w:val="0"/>
          <w:sz w:val="20"/>
          <w:szCs w:val="20"/>
          <w:lang w:eastAsia="it-IT"/>
          <w14:ligatures w14:val="none"/>
        </w:rPr>
      </w:pPr>
      <w:hyperlink r:id="rId60" w:anchor="_ftnref5" w:tgtFrame="_self" w:history="1">
        <w:r w:rsidR="00662E0E" w:rsidRPr="004F76E5">
          <w:rPr>
            <w:rFonts w:ascii="Times New Roman" w:eastAsia="Times New Roman" w:hAnsi="Times New Roman" w:cs="Times New Roman"/>
            <w:color w:val="0069D6"/>
            <w:kern w:val="0"/>
            <w:sz w:val="13"/>
            <w:szCs w:val="13"/>
            <w:lang w:eastAsia="it-IT"/>
            <w14:ligatures w14:val="none"/>
          </w:rPr>
          <w:t>[5]</w:t>
        </w:r>
      </w:hyperlink>
      <w:r w:rsidR="00662E0E" w:rsidRPr="004F76E5">
        <w:rPr>
          <w:rFonts w:ascii="Times New Roman" w:eastAsia="Times New Roman" w:hAnsi="Times New Roman" w:cs="Times New Roman"/>
          <w:color w:val="000000"/>
          <w:kern w:val="0"/>
          <w:sz w:val="20"/>
          <w:szCs w:val="20"/>
          <w:lang w:eastAsia="it-IT"/>
          <w14:ligatures w14:val="none"/>
        </w:rPr>
        <w:t>  GREVIO, Rapporto di valutazione di base sull'Italia (2020), p. 7.</w:t>
      </w:r>
    </w:p>
    <w:p w14:paraId="5A4C9674" w14:textId="77777777" w:rsidR="00662E0E" w:rsidRPr="004F76E5" w:rsidRDefault="00000000" w:rsidP="00662E0E">
      <w:pPr>
        <w:shd w:val="clear" w:color="auto" w:fill="FFFFFF"/>
        <w:spacing w:after="0" w:line="240" w:lineRule="auto"/>
        <w:jc w:val="both"/>
        <w:rPr>
          <w:rFonts w:ascii="Times New Roman" w:eastAsia="Times New Roman" w:hAnsi="Times New Roman" w:cs="Times New Roman"/>
          <w:color w:val="000000"/>
          <w:kern w:val="0"/>
          <w:sz w:val="20"/>
          <w:szCs w:val="20"/>
          <w:lang w:eastAsia="it-IT"/>
          <w14:ligatures w14:val="none"/>
        </w:rPr>
      </w:pPr>
      <w:hyperlink r:id="rId61" w:anchor="_ftnref6" w:tgtFrame="_self" w:history="1">
        <w:r w:rsidR="00662E0E" w:rsidRPr="004F76E5">
          <w:rPr>
            <w:rFonts w:ascii="Times New Roman" w:eastAsia="Times New Roman" w:hAnsi="Times New Roman" w:cs="Times New Roman"/>
            <w:color w:val="0069D6"/>
            <w:kern w:val="0"/>
            <w:sz w:val="13"/>
            <w:szCs w:val="13"/>
            <w:lang w:eastAsia="it-IT"/>
            <w14:ligatures w14:val="none"/>
          </w:rPr>
          <w:t>[6]</w:t>
        </w:r>
      </w:hyperlink>
      <w:r w:rsidR="00662E0E" w:rsidRPr="004F76E5">
        <w:rPr>
          <w:rFonts w:ascii="Times New Roman" w:eastAsia="Times New Roman" w:hAnsi="Times New Roman" w:cs="Times New Roman"/>
          <w:color w:val="000000"/>
          <w:kern w:val="0"/>
          <w:sz w:val="20"/>
          <w:szCs w:val="20"/>
          <w:lang w:eastAsia="it-IT"/>
          <w14:ligatures w14:val="none"/>
        </w:rPr>
        <w:t>  Ibid., paragrafo 186, p. 61.</w:t>
      </w:r>
    </w:p>
    <w:p w14:paraId="4734CA50" w14:textId="77777777" w:rsidR="00662E0E" w:rsidRPr="004F76E5" w:rsidRDefault="00000000" w:rsidP="00662E0E">
      <w:pPr>
        <w:shd w:val="clear" w:color="auto" w:fill="FFFFFF"/>
        <w:spacing w:after="0" w:line="240" w:lineRule="auto"/>
        <w:jc w:val="both"/>
        <w:rPr>
          <w:rFonts w:ascii="Times New Roman" w:eastAsia="Times New Roman" w:hAnsi="Times New Roman" w:cs="Times New Roman"/>
          <w:color w:val="000000"/>
          <w:kern w:val="0"/>
          <w:sz w:val="20"/>
          <w:szCs w:val="20"/>
          <w:lang w:eastAsia="it-IT"/>
          <w14:ligatures w14:val="none"/>
        </w:rPr>
      </w:pPr>
      <w:hyperlink r:id="rId62" w:anchor="_ftnref7" w:tgtFrame="_self" w:history="1">
        <w:r w:rsidR="00662E0E" w:rsidRPr="004F76E5">
          <w:rPr>
            <w:rFonts w:ascii="Times New Roman" w:eastAsia="Times New Roman" w:hAnsi="Times New Roman" w:cs="Times New Roman"/>
            <w:color w:val="0069D6"/>
            <w:kern w:val="0"/>
            <w:sz w:val="13"/>
            <w:szCs w:val="13"/>
            <w:lang w:eastAsia="it-IT"/>
            <w14:ligatures w14:val="none"/>
          </w:rPr>
          <w:t>[7]</w:t>
        </w:r>
      </w:hyperlink>
      <w:r w:rsidR="00662E0E" w:rsidRPr="004F76E5">
        <w:rPr>
          <w:rFonts w:ascii="Times New Roman" w:eastAsia="Times New Roman" w:hAnsi="Times New Roman" w:cs="Times New Roman"/>
          <w:color w:val="000000"/>
          <w:kern w:val="0"/>
          <w:sz w:val="20"/>
          <w:szCs w:val="20"/>
          <w:lang w:eastAsia="it-IT"/>
          <w14:ligatures w14:val="none"/>
        </w:rPr>
        <w:t>  26 luglio 2017, CEDAW/C/GC/35.</w:t>
      </w:r>
    </w:p>
    <w:p w14:paraId="751B18FD" w14:textId="77777777" w:rsidR="00B2294C" w:rsidRPr="004F76E5" w:rsidRDefault="00B2294C" w:rsidP="00F9301F">
      <w:pPr>
        <w:shd w:val="clear" w:color="auto" w:fill="FFFFFF"/>
        <w:spacing w:before="240" w:after="0" w:line="240" w:lineRule="auto"/>
        <w:ind w:firstLine="284"/>
        <w:jc w:val="both"/>
        <w:rPr>
          <w:rFonts w:ascii="Times New Roman" w:eastAsia="Times New Roman" w:hAnsi="Times New Roman" w:cs="Times New Roman"/>
          <w:color w:val="000000"/>
          <w:kern w:val="0"/>
          <w:lang w:eastAsia="it-IT"/>
          <w14:ligatures w14:val="none"/>
        </w:rPr>
      </w:pPr>
    </w:p>
    <w:p w14:paraId="62928F03" w14:textId="32568E28" w:rsidR="00B2294C" w:rsidRPr="00F9301F" w:rsidRDefault="00000000" w:rsidP="00F9301F">
      <w:pPr>
        <w:shd w:val="clear" w:color="auto" w:fill="FFFFFF"/>
        <w:spacing w:before="240" w:after="0" w:line="240" w:lineRule="auto"/>
        <w:ind w:firstLine="284"/>
        <w:jc w:val="both"/>
        <w:rPr>
          <w:rFonts w:ascii="Times New Roman" w:eastAsia="Times New Roman" w:hAnsi="Times New Roman" w:cs="Times New Roman"/>
          <w:color w:val="000000"/>
          <w:kern w:val="0"/>
          <w:lang w:eastAsia="it-IT"/>
          <w14:ligatures w14:val="none"/>
        </w:rPr>
      </w:pPr>
      <w:hyperlink r:id="rId63" w:anchor="{%22itemid%22:[%22001-251247%22]}" w:history="1">
        <w:r w:rsidR="00DE34DD" w:rsidRPr="004F76E5">
          <w:rPr>
            <w:rStyle w:val="Collegamentoipertestuale"/>
            <w:rFonts w:ascii="Times New Roman" w:eastAsia="Times New Roman" w:hAnsi="Times New Roman" w:cs="Times New Roman"/>
            <w:kern w:val="0"/>
            <w:lang w:eastAsia="it-IT"/>
            <w14:ligatures w14:val="none"/>
          </w:rPr>
          <w:t>https://hudoc.echr.coe.int/#{%22itemid%22:[%22001-251247%22]}</w:t>
        </w:r>
      </w:hyperlink>
      <w:r w:rsidR="00DE34DD">
        <w:rPr>
          <w:rFonts w:ascii="Times New Roman" w:eastAsia="Times New Roman" w:hAnsi="Times New Roman" w:cs="Times New Roman"/>
          <w:color w:val="000000"/>
          <w:kern w:val="0"/>
          <w:lang w:eastAsia="it-IT"/>
          <w14:ligatures w14:val="none"/>
        </w:rPr>
        <w:t xml:space="preserve"> </w:t>
      </w:r>
    </w:p>
    <w:p w14:paraId="7B870A10" w14:textId="77777777" w:rsidR="00F9301F" w:rsidRPr="00F9301F" w:rsidRDefault="00F9301F" w:rsidP="00F9301F">
      <w:pPr>
        <w:shd w:val="clear" w:color="auto" w:fill="FFFFFF"/>
        <w:spacing w:after="240" w:line="240" w:lineRule="auto"/>
        <w:ind w:firstLine="284"/>
        <w:jc w:val="both"/>
        <w:rPr>
          <w:rFonts w:ascii="Times New Roman" w:eastAsia="Times New Roman" w:hAnsi="Times New Roman" w:cs="Times New Roman"/>
          <w:color w:val="000000"/>
          <w:kern w:val="0"/>
          <w:lang w:eastAsia="it-IT"/>
          <w14:ligatures w14:val="none"/>
        </w:rPr>
      </w:pPr>
      <w:r w:rsidRPr="00F9301F">
        <w:rPr>
          <w:rFonts w:ascii="Times New Roman" w:eastAsia="Times New Roman" w:hAnsi="Times New Roman" w:cs="Times New Roman"/>
          <w:color w:val="000000"/>
          <w:kern w:val="0"/>
          <w:lang w:eastAsia="it-IT"/>
          <w14:ligatures w14:val="none"/>
        </w:rPr>
        <w:t> </w:t>
      </w:r>
    </w:p>
    <w:p w14:paraId="31929223" w14:textId="77777777" w:rsidR="00F9301F" w:rsidRPr="00D21F64" w:rsidRDefault="00F9301F" w:rsidP="00D21F64">
      <w:pPr>
        <w:shd w:val="clear" w:color="auto" w:fill="FFFFFF"/>
        <w:spacing w:after="0" w:line="240" w:lineRule="auto"/>
        <w:ind w:firstLine="284"/>
        <w:jc w:val="both"/>
        <w:rPr>
          <w:rFonts w:ascii="Times New Roman" w:eastAsia="Times New Roman" w:hAnsi="Times New Roman" w:cs="Times New Roman"/>
          <w:color w:val="000000"/>
          <w:kern w:val="0"/>
          <w:lang w:eastAsia="it-IT"/>
          <w14:ligatures w14:val="none"/>
        </w:rPr>
      </w:pPr>
    </w:p>
    <w:p w14:paraId="1B3E0BEB" w14:textId="77777777" w:rsidR="00BF0D69" w:rsidRPr="0045760E" w:rsidRDefault="00BF0D69" w:rsidP="0045760E">
      <w:pPr>
        <w:shd w:val="clear" w:color="auto" w:fill="FFFFFF"/>
        <w:spacing w:before="280" w:after="240" w:line="240" w:lineRule="auto"/>
        <w:ind w:left="357" w:hanging="357"/>
        <w:jc w:val="both"/>
        <w:rPr>
          <w:rFonts w:ascii="Times New Roman" w:eastAsia="Times New Roman" w:hAnsi="Times New Roman" w:cs="Times New Roman"/>
          <w:color w:val="000000"/>
          <w:kern w:val="0"/>
          <w:lang w:eastAsia="it-IT"/>
          <w14:ligatures w14:val="none"/>
        </w:rPr>
      </w:pPr>
    </w:p>
    <w:p w14:paraId="203613C7" w14:textId="77777777" w:rsidR="0045760E" w:rsidRPr="00BF0D69" w:rsidRDefault="0045760E">
      <w:pPr>
        <w:rPr>
          <w:rFonts w:ascii="Times New Roman" w:hAnsi="Times New Roman" w:cs="Times New Roman"/>
        </w:rPr>
      </w:pPr>
    </w:p>
    <w:sectPr w:rsidR="0045760E" w:rsidRPr="00BF0D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E6A"/>
    <w:multiLevelType w:val="multilevel"/>
    <w:tmpl w:val="98660A82"/>
    <w:lvl w:ilvl="0">
      <w:start w:val="2"/>
      <w:numFmt w:val="upperRoman"/>
      <w:lvlText w:val="%1."/>
      <w:lvlJc w:val="right"/>
      <w:pPr>
        <w:tabs>
          <w:tab w:val="num" w:pos="928"/>
        </w:tabs>
        <w:ind w:left="928" w:hanging="360"/>
      </w:pPr>
    </w:lvl>
    <w:lvl w:ilvl="1" w:tentative="1">
      <w:start w:val="1"/>
      <w:numFmt w:val="upperRoman"/>
      <w:lvlText w:val="%2."/>
      <w:lvlJc w:val="right"/>
      <w:pPr>
        <w:tabs>
          <w:tab w:val="num" w:pos="1648"/>
        </w:tabs>
        <w:ind w:left="1648" w:hanging="360"/>
      </w:pPr>
    </w:lvl>
    <w:lvl w:ilvl="2" w:tentative="1">
      <w:start w:val="1"/>
      <w:numFmt w:val="upperRoman"/>
      <w:lvlText w:val="%3."/>
      <w:lvlJc w:val="right"/>
      <w:pPr>
        <w:tabs>
          <w:tab w:val="num" w:pos="2368"/>
        </w:tabs>
        <w:ind w:left="2368" w:hanging="360"/>
      </w:pPr>
    </w:lvl>
    <w:lvl w:ilvl="3" w:tentative="1">
      <w:start w:val="1"/>
      <w:numFmt w:val="upperRoman"/>
      <w:lvlText w:val="%4."/>
      <w:lvlJc w:val="right"/>
      <w:pPr>
        <w:tabs>
          <w:tab w:val="num" w:pos="3088"/>
        </w:tabs>
        <w:ind w:left="3088" w:hanging="360"/>
      </w:pPr>
    </w:lvl>
    <w:lvl w:ilvl="4" w:tentative="1">
      <w:start w:val="1"/>
      <w:numFmt w:val="upperRoman"/>
      <w:lvlText w:val="%5."/>
      <w:lvlJc w:val="right"/>
      <w:pPr>
        <w:tabs>
          <w:tab w:val="num" w:pos="3808"/>
        </w:tabs>
        <w:ind w:left="3808" w:hanging="360"/>
      </w:pPr>
    </w:lvl>
    <w:lvl w:ilvl="5" w:tentative="1">
      <w:start w:val="1"/>
      <w:numFmt w:val="upperRoman"/>
      <w:lvlText w:val="%6."/>
      <w:lvlJc w:val="right"/>
      <w:pPr>
        <w:tabs>
          <w:tab w:val="num" w:pos="4528"/>
        </w:tabs>
        <w:ind w:left="4528" w:hanging="360"/>
      </w:pPr>
    </w:lvl>
    <w:lvl w:ilvl="6" w:tentative="1">
      <w:start w:val="1"/>
      <w:numFmt w:val="upperRoman"/>
      <w:lvlText w:val="%7."/>
      <w:lvlJc w:val="right"/>
      <w:pPr>
        <w:tabs>
          <w:tab w:val="num" w:pos="5248"/>
        </w:tabs>
        <w:ind w:left="5248" w:hanging="360"/>
      </w:pPr>
    </w:lvl>
    <w:lvl w:ilvl="7" w:tentative="1">
      <w:start w:val="1"/>
      <w:numFmt w:val="upperRoman"/>
      <w:lvlText w:val="%8."/>
      <w:lvlJc w:val="right"/>
      <w:pPr>
        <w:tabs>
          <w:tab w:val="num" w:pos="5968"/>
        </w:tabs>
        <w:ind w:left="5968" w:hanging="360"/>
      </w:pPr>
    </w:lvl>
    <w:lvl w:ilvl="8" w:tentative="1">
      <w:start w:val="1"/>
      <w:numFmt w:val="upperRoman"/>
      <w:lvlText w:val="%9."/>
      <w:lvlJc w:val="right"/>
      <w:pPr>
        <w:tabs>
          <w:tab w:val="num" w:pos="6688"/>
        </w:tabs>
        <w:ind w:left="6688" w:hanging="360"/>
      </w:pPr>
    </w:lvl>
  </w:abstractNum>
  <w:abstractNum w:abstractNumId="1" w15:restartNumberingAfterBreak="0">
    <w:nsid w:val="246C6D22"/>
    <w:multiLevelType w:val="multilevel"/>
    <w:tmpl w:val="06809D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AE598F"/>
    <w:multiLevelType w:val="multilevel"/>
    <w:tmpl w:val="1E0E7C9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400B16CC"/>
    <w:multiLevelType w:val="multilevel"/>
    <w:tmpl w:val="9A8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9A4C7A"/>
    <w:multiLevelType w:val="hybridMultilevel"/>
    <w:tmpl w:val="8ADEE77E"/>
    <w:lvl w:ilvl="0" w:tplc="5C12B3F0">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07D16B2"/>
    <w:multiLevelType w:val="multilevel"/>
    <w:tmpl w:val="A1FCA7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B00B30"/>
    <w:multiLevelType w:val="multilevel"/>
    <w:tmpl w:val="E81A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8E7978"/>
    <w:multiLevelType w:val="multilevel"/>
    <w:tmpl w:val="65F86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4209752">
    <w:abstractNumId w:val="3"/>
  </w:num>
  <w:num w:numId="2" w16cid:durableId="1221406803">
    <w:abstractNumId w:val="6"/>
  </w:num>
  <w:num w:numId="3" w16cid:durableId="103501988">
    <w:abstractNumId w:val="2"/>
  </w:num>
  <w:num w:numId="4" w16cid:durableId="1267226173">
    <w:abstractNumId w:val="4"/>
  </w:num>
  <w:num w:numId="5" w16cid:durableId="801508498">
    <w:abstractNumId w:val="0"/>
  </w:num>
  <w:num w:numId="6" w16cid:durableId="1425151331">
    <w:abstractNumId w:val="7"/>
  </w:num>
  <w:num w:numId="7" w16cid:durableId="1466191805">
    <w:abstractNumId w:val="1"/>
  </w:num>
  <w:num w:numId="8" w16cid:durableId="1060323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97"/>
    <w:rsid w:val="000C20F5"/>
    <w:rsid w:val="001B5FC3"/>
    <w:rsid w:val="002860AF"/>
    <w:rsid w:val="003A24D7"/>
    <w:rsid w:val="003F5901"/>
    <w:rsid w:val="0045760E"/>
    <w:rsid w:val="004F76E5"/>
    <w:rsid w:val="00543907"/>
    <w:rsid w:val="00596ABF"/>
    <w:rsid w:val="005A2F99"/>
    <w:rsid w:val="006528D1"/>
    <w:rsid w:val="00662E0E"/>
    <w:rsid w:val="00681E34"/>
    <w:rsid w:val="00730B02"/>
    <w:rsid w:val="008C3AA0"/>
    <w:rsid w:val="00A87D23"/>
    <w:rsid w:val="00A94CD5"/>
    <w:rsid w:val="00AF4666"/>
    <w:rsid w:val="00B2294C"/>
    <w:rsid w:val="00B965BE"/>
    <w:rsid w:val="00BF0D69"/>
    <w:rsid w:val="00C03585"/>
    <w:rsid w:val="00C24E80"/>
    <w:rsid w:val="00CA264E"/>
    <w:rsid w:val="00D21F64"/>
    <w:rsid w:val="00D81097"/>
    <w:rsid w:val="00DE34DD"/>
    <w:rsid w:val="00DE630A"/>
    <w:rsid w:val="00E45C64"/>
    <w:rsid w:val="00E77D51"/>
    <w:rsid w:val="00ED5229"/>
    <w:rsid w:val="00EE36A8"/>
    <w:rsid w:val="00F371A4"/>
    <w:rsid w:val="00F40D23"/>
    <w:rsid w:val="00F6581B"/>
    <w:rsid w:val="00F93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898F"/>
  <w15:chartTrackingRefBased/>
  <w15:docId w15:val="{12CDB1B6-DDD0-4BAD-BC00-BA737A77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810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810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8109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8109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8109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8109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109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8109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109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10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810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810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810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810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810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810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810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81097"/>
    <w:rPr>
      <w:rFonts w:eastAsiaTheme="majorEastAsia" w:cstheme="majorBidi"/>
      <w:color w:val="272727" w:themeColor="text1" w:themeTint="D8"/>
    </w:rPr>
  </w:style>
  <w:style w:type="paragraph" w:styleId="Titolo">
    <w:name w:val="Title"/>
    <w:basedOn w:val="Normale"/>
    <w:next w:val="Normale"/>
    <w:link w:val="TitoloCarattere"/>
    <w:uiPriority w:val="10"/>
    <w:qFormat/>
    <w:rsid w:val="00D81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10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109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10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109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1097"/>
    <w:rPr>
      <w:i/>
      <w:iCs/>
      <w:color w:val="404040" w:themeColor="text1" w:themeTint="BF"/>
    </w:rPr>
  </w:style>
  <w:style w:type="paragraph" w:styleId="Paragrafoelenco">
    <w:name w:val="List Paragraph"/>
    <w:basedOn w:val="Normale"/>
    <w:uiPriority w:val="34"/>
    <w:qFormat/>
    <w:rsid w:val="00D81097"/>
    <w:pPr>
      <w:ind w:left="720"/>
      <w:contextualSpacing/>
    </w:pPr>
  </w:style>
  <w:style w:type="character" w:styleId="Enfasiintensa">
    <w:name w:val="Intense Emphasis"/>
    <w:basedOn w:val="Carpredefinitoparagrafo"/>
    <w:uiPriority w:val="21"/>
    <w:qFormat/>
    <w:rsid w:val="00D81097"/>
    <w:rPr>
      <w:i/>
      <w:iCs/>
      <w:color w:val="0F4761" w:themeColor="accent1" w:themeShade="BF"/>
    </w:rPr>
  </w:style>
  <w:style w:type="paragraph" w:styleId="Citazioneintensa">
    <w:name w:val="Intense Quote"/>
    <w:basedOn w:val="Normale"/>
    <w:next w:val="Normale"/>
    <w:link w:val="CitazioneintensaCarattere"/>
    <w:uiPriority w:val="30"/>
    <w:qFormat/>
    <w:rsid w:val="00D810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81097"/>
    <w:rPr>
      <w:i/>
      <w:iCs/>
      <w:color w:val="0F4761" w:themeColor="accent1" w:themeShade="BF"/>
    </w:rPr>
  </w:style>
  <w:style w:type="character" w:styleId="Riferimentointenso">
    <w:name w:val="Intense Reference"/>
    <w:basedOn w:val="Carpredefinitoparagrafo"/>
    <w:uiPriority w:val="32"/>
    <w:qFormat/>
    <w:rsid w:val="00D81097"/>
    <w:rPr>
      <w:b/>
      <w:bCs/>
      <w:smallCaps/>
      <w:color w:val="0F4761" w:themeColor="accent1" w:themeShade="BF"/>
      <w:spacing w:val="5"/>
    </w:rPr>
  </w:style>
  <w:style w:type="character" w:styleId="Collegamentoipertestuale">
    <w:name w:val="Hyperlink"/>
    <w:basedOn w:val="Carpredefinitoparagrafo"/>
    <w:uiPriority w:val="99"/>
    <w:unhideWhenUsed/>
    <w:rsid w:val="00C24E80"/>
    <w:rPr>
      <w:color w:val="467886" w:themeColor="hyperlink"/>
      <w:u w:val="single"/>
    </w:rPr>
  </w:style>
  <w:style w:type="character" w:styleId="Menzionenonrisolta">
    <w:name w:val="Unresolved Mention"/>
    <w:basedOn w:val="Carpredefinitoparagrafo"/>
    <w:uiPriority w:val="99"/>
    <w:semiHidden/>
    <w:unhideWhenUsed/>
    <w:rsid w:val="00C24E80"/>
    <w:rPr>
      <w:color w:val="605E5C"/>
      <w:shd w:val="clear" w:color="auto" w:fill="E1DFDD"/>
    </w:rPr>
  </w:style>
  <w:style w:type="paragraph" w:customStyle="1" w:styleId="s10950c61">
    <w:name w:val="s10950c61"/>
    <w:basedOn w:val="Normale"/>
    <w:rsid w:val="00BF0D6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sbb9ee52a">
    <w:name w:val="sbb9ee52a"/>
    <w:basedOn w:val="Carpredefinitoparagrafo"/>
    <w:rsid w:val="00BF0D69"/>
  </w:style>
  <w:style w:type="character" w:customStyle="1" w:styleId="sa36b60a1">
    <w:name w:val="sa36b60a1"/>
    <w:basedOn w:val="Carpredefinitoparagrafo"/>
    <w:rsid w:val="00BF0D69"/>
  </w:style>
  <w:style w:type="character" w:customStyle="1" w:styleId="s4bae41ee">
    <w:name w:val="s4bae41ee"/>
    <w:basedOn w:val="Carpredefinitoparagrafo"/>
    <w:rsid w:val="00BF0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06340">
      <w:bodyDiv w:val="1"/>
      <w:marLeft w:val="0"/>
      <w:marRight w:val="0"/>
      <w:marTop w:val="0"/>
      <w:marBottom w:val="0"/>
      <w:divBdr>
        <w:top w:val="none" w:sz="0" w:space="0" w:color="auto"/>
        <w:left w:val="none" w:sz="0" w:space="0" w:color="auto"/>
        <w:bottom w:val="none" w:sz="0" w:space="0" w:color="auto"/>
        <w:right w:val="none" w:sz="0" w:space="0" w:color="auto"/>
      </w:divBdr>
      <w:divsChild>
        <w:div w:id="137650647">
          <w:marLeft w:val="0"/>
          <w:marRight w:val="0"/>
          <w:marTop w:val="0"/>
          <w:marBottom w:val="0"/>
          <w:divBdr>
            <w:top w:val="none" w:sz="0" w:space="0" w:color="auto"/>
            <w:left w:val="none" w:sz="0" w:space="0" w:color="auto"/>
            <w:bottom w:val="none" w:sz="0" w:space="0" w:color="auto"/>
            <w:right w:val="none" w:sz="0" w:space="0" w:color="auto"/>
          </w:divBdr>
        </w:div>
        <w:div w:id="669455917">
          <w:marLeft w:val="0"/>
          <w:marRight w:val="0"/>
          <w:marTop w:val="0"/>
          <w:marBottom w:val="0"/>
          <w:divBdr>
            <w:top w:val="none" w:sz="0" w:space="0" w:color="auto"/>
            <w:left w:val="none" w:sz="0" w:space="0" w:color="auto"/>
            <w:bottom w:val="none" w:sz="0" w:space="0" w:color="auto"/>
            <w:right w:val="none" w:sz="0" w:space="0" w:color="auto"/>
          </w:divBdr>
        </w:div>
        <w:div w:id="1538083283">
          <w:marLeft w:val="0"/>
          <w:marRight w:val="0"/>
          <w:marTop w:val="0"/>
          <w:marBottom w:val="0"/>
          <w:divBdr>
            <w:top w:val="none" w:sz="0" w:space="0" w:color="auto"/>
            <w:left w:val="none" w:sz="0" w:space="0" w:color="auto"/>
            <w:bottom w:val="none" w:sz="0" w:space="0" w:color="auto"/>
            <w:right w:val="none" w:sz="0" w:space="0" w:color="auto"/>
          </w:divBdr>
        </w:div>
        <w:div w:id="798887893">
          <w:marLeft w:val="0"/>
          <w:marRight w:val="0"/>
          <w:marTop w:val="0"/>
          <w:marBottom w:val="0"/>
          <w:divBdr>
            <w:top w:val="none" w:sz="0" w:space="0" w:color="auto"/>
            <w:left w:val="none" w:sz="0" w:space="0" w:color="auto"/>
            <w:bottom w:val="none" w:sz="0" w:space="0" w:color="auto"/>
            <w:right w:val="none" w:sz="0" w:space="0" w:color="auto"/>
          </w:divBdr>
        </w:div>
        <w:div w:id="2069378470">
          <w:marLeft w:val="0"/>
          <w:marRight w:val="0"/>
          <w:marTop w:val="0"/>
          <w:marBottom w:val="0"/>
          <w:divBdr>
            <w:top w:val="none" w:sz="0" w:space="0" w:color="auto"/>
            <w:left w:val="none" w:sz="0" w:space="0" w:color="auto"/>
            <w:bottom w:val="none" w:sz="0" w:space="0" w:color="auto"/>
            <w:right w:val="none" w:sz="0" w:space="0" w:color="auto"/>
          </w:divBdr>
        </w:div>
        <w:div w:id="975525372">
          <w:marLeft w:val="0"/>
          <w:marRight w:val="0"/>
          <w:marTop w:val="0"/>
          <w:marBottom w:val="0"/>
          <w:divBdr>
            <w:top w:val="none" w:sz="0" w:space="0" w:color="auto"/>
            <w:left w:val="none" w:sz="0" w:space="0" w:color="auto"/>
            <w:bottom w:val="none" w:sz="0" w:space="0" w:color="auto"/>
            <w:right w:val="none" w:sz="0" w:space="0" w:color="auto"/>
          </w:divBdr>
        </w:div>
        <w:div w:id="873466604">
          <w:marLeft w:val="0"/>
          <w:marRight w:val="0"/>
          <w:marTop w:val="0"/>
          <w:marBottom w:val="0"/>
          <w:divBdr>
            <w:top w:val="none" w:sz="0" w:space="0" w:color="auto"/>
            <w:left w:val="none" w:sz="0" w:space="0" w:color="auto"/>
            <w:bottom w:val="none" w:sz="0" w:space="0" w:color="auto"/>
            <w:right w:val="none" w:sz="0" w:space="0" w:color="auto"/>
          </w:divBdr>
        </w:div>
        <w:div w:id="458844723">
          <w:marLeft w:val="0"/>
          <w:marRight w:val="0"/>
          <w:marTop w:val="0"/>
          <w:marBottom w:val="0"/>
          <w:divBdr>
            <w:top w:val="none" w:sz="0" w:space="0" w:color="auto"/>
            <w:left w:val="none" w:sz="0" w:space="0" w:color="auto"/>
            <w:bottom w:val="none" w:sz="0" w:space="0" w:color="auto"/>
            <w:right w:val="none" w:sz="0" w:space="0" w:color="auto"/>
          </w:divBdr>
        </w:div>
        <w:div w:id="1221286469">
          <w:marLeft w:val="0"/>
          <w:marRight w:val="0"/>
          <w:marTop w:val="0"/>
          <w:marBottom w:val="0"/>
          <w:divBdr>
            <w:top w:val="none" w:sz="0" w:space="0" w:color="auto"/>
            <w:left w:val="none" w:sz="0" w:space="0" w:color="auto"/>
            <w:bottom w:val="none" w:sz="0" w:space="0" w:color="auto"/>
            <w:right w:val="none" w:sz="0" w:space="0" w:color="auto"/>
          </w:divBdr>
        </w:div>
      </w:divsChild>
    </w:div>
    <w:div w:id="1109471285">
      <w:bodyDiv w:val="1"/>
      <w:marLeft w:val="0"/>
      <w:marRight w:val="0"/>
      <w:marTop w:val="0"/>
      <w:marBottom w:val="0"/>
      <w:divBdr>
        <w:top w:val="none" w:sz="0" w:space="0" w:color="auto"/>
        <w:left w:val="none" w:sz="0" w:space="0" w:color="auto"/>
        <w:bottom w:val="none" w:sz="0" w:space="0" w:color="auto"/>
        <w:right w:val="none" w:sz="0" w:space="0" w:color="auto"/>
      </w:divBdr>
      <w:divsChild>
        <w:div w:id="1597058136">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209757697">
      <w:bodyDiv w:val="1"/>
      <w:marLeft w:val="0"/>
      <w:marRight w:val="0"/>
      <w:marTop w:val="0"/>
      <w:marBottom w:val="0"/>
      <w:divBdr>
        <w:top w:val="none" w:sz="0" w:space="0" w:color="auto"/>
        <w:left w:val="none" w:sz="0" w:space="0" w:color="auto"/>
        <w:bottom w:val="none" w:sz="0" w:space="0" w:color="auto"/>
        <w:right w:val="none" w:sz="0" w:space="0" w:color="auto"/>
      </w:divBdr>
    </w:div>
    <w:div w:id="1446971044">
      <w:bodyDiv w:val="1"/>
      <w:marLeft w:val="0"/>
      <w:marRight w:val="0"/>
      <w:marTop w:val="0"/>
      <w:marBottom w:val="0"/>
      <w:divBdr>
        <w:top w:val="none" w:sz="0" w:space="0" w:color="auto"/>
        <w:left w:val="none" w:sz="0" w:space="0" w:color="auto"/>
        <w:bottom w:val="none" w:sz="0" w:space="0" w:color="auto"/>
        <w:right w:val="none" w:sz="0" w:space="0" w:color="auto"/>
      </w:divBdr>
    </w:div>
    <w:div w:id="1707215804">
      <w:bodyDiv w:val="1"/>
      <w:marLeft w:val="0"/>
      <w:marRight w:val="0"/>
      <w:marTop w:val="0"/>
      <w:marBottom w:val="0"/>
      <w:divBdr>
        <w:top w:val="none" w:sz="0" w:space="0" w:color="auto"/>
        <w:left w:val="none" w:sz="0" w:space="0" w:color="auto"/>
        <w:bottom w:val="none" w:sz="0" w:space="0" w:color="auto"/>
        <w:right w:val="none" w:sz="0" w:space="0" w:color="auto"/>
      </w:divBdr>
      <w:divsChild>
        <w:div w:id="153228631">
          <w:marLeft w:val="0"/>
          <w:marRight w:val="0"/>
          <w:marTop w:val="0"/>
          <w:marBottom w:val="0"/>
          <w:divBdr>
            <w:top w:val="none" w:sz="0" w:space="0" w:color="auto"/>
            <w:left w:val="none" w:sz="0" w:space="0" w:color="auto"/>
            <w:bottom w:val="none" w:sz="0" w:space="0" w:color="auto"/>
            <w:right w:val="none" w:sz="0" w:space="0" w:color="auto"/>
          </w:divBdr>
        </w:div>
        <w:div w:id="2133085656">
          <w:marLeft w:val="0"/>
          <w:marRight w:val="0"/>
          <w:marTop w:val="0"/>
          <w:marBottom w:val="0"/>
          <w:divBdr>
            <w:top w:val="none" w:sz="0" w:space="0" w:color="auto"/>
            <w:left w:val="none" w:sz="0" w:space="0" w:color="auto"/>
            <w:bottom w:val="none" w:sz="0" w:space="0" w:color="auto"/>
            <w:right w:val="none" w:sz="0" w:space="0" w:color="auto"/>
          </w:divBdr>
        </w:div>
      </w:divsChild>
    </w:div>
    <w:div w:id="1784493071">
      <w:bodyDiv w:val="1"/>
      <w:marLeft w:val="0"/>
      <w:marRight w:val="0"/>
      <w:marTop w:val="0"/>
      <w:marBottom w:val="0"/>
      <w:divBdr>
        <w:top w:val="none" w:sz="0" w:space="0" w:color="auto"/>
        <w:left w:val="none" w:sz="0" w:space="0" w:color="auto"/>
        <w:bottom w:val="none" w:sz="0" w:space="0" w:color="auto"/>
        <w:right w:val="none" w:sz="0" w:space="0" w:color="auto"/>
      </w:divBdr>
    </w:div>
    <w:div w:id="188332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 TargetMode="External"/><Relationship Id="rId21" Type="http://schemas.openxmlformats.org/officeDocument/2006/relationships/hyperlink" Target="https://hudoc.echr.coe.int/eng" TargetMode="External"/><Relationship Id="rId34" Type="http://schemas.openxmlformats.org/officeDocument/2006/relationships/hyperlink" Target="https://hudoc.echr.coe.int/eng" TargetMode="External"/><Relationship Id="rId42" Type="http://schemas.openxmlformats.org/officeDocument/2006/relationships/hyperlink" Target="https://hudoc.echr.coe.int/eng" TargetMode="External"/><Relationship Id="rId47" Type="http://schemas.openxmlformats.org/officeDocument/2006/relationships/hyperlink" Target="https://hudoc.echr.coe.int/eng" TargetMode="External"/><Relationship Id="rId50" Type="http://schemas.openxmlformats.org/officeDocument/2006/relationships/hyperlink" Target="https://hudoc.echr.coe.int/" TargetMode="External"/><Relationship Id="rId55" Type="http://schemas.openxmlformats.org/officeDocument/2006/relationships/hyperlink" Target="https://hudoc.echr.coe.int/eng" TargetMode="External"/><Relationship Id="rId63" Type="http://schemas.openxmlformats.org/officeDocument/2006/relationships/hyperlink" Target="https://hudoc.echr.coe.int/" TargetMode="External"/><Relationship Id="rId7" Type="http://schemas.openxmlformats.org/officeDocument/2006/relationships/hyperlink" Target="https://hudoc.echr.coe.int/eng" TargetMode="External"/><Relationship Id="rId2" Type="http://schemas.openxmlformats.org/officeDocument/2006/relationships/styles" Target="styles.xml"/><Relationship Id="rId16" Type="http://schemas.openxmlformats.org/officeDocument/2006/relationships/hyperlink" Target="https://hudoc.echr.coe.int/eng" TargetMode="External"/><Relationship Id="rId29" Type="http://schemas.openxmlformats.org/officeDocument/2006/relationships/hyperlink" Target="https://hudoc.echr.coe.int/eng" TargetMode="External"/><Relationship Id="rId11" Type="http://schemas.openxmlformats.org/officeDocument/2006/relationships/hyperlink" Target="https://hudoc.echr.coe.int/eng" TargetMode="External"/><Relationship Id="rId24" Type="http://schemas.openxmlformats.org/officeDocument/2006/relationships/hyperlink" Target="https://hudoc.echr.coe.int/eng" TargetMode="External"/><Relationship Id="rId32" Type="http://schemas.openxmlformats.org/officeDocument/2006/relationships/hyperlink" Target="https://hudoc.echr.coe.int/eng" TargetMode="External"/><Relationship Id="rId37" Type="http://schemas.openxmlformats.org/officeDocument/2006/relationships/hyperlink" Target="https://hudoc.echr.coe.int/eng" TargetMode="External"/><Relationship Id="rId40" Type="http://schemas.openxmlformats.org/officeDocument/2006/relationships/hyperlink" Target="https://hudoc.echr.coe.int/eng" TargetMode="External"/><Relationship Id="rId45" Type="http://schemas.openxmlformats.org/officeDocument/2006/relationships/hyperlink" Target="https://hudoc.echr.coe.int/eng" TargetMode="External"/><Relationship Id="rId53" Type="http://schemas.openxmlformats.org/officeDocument/2006/relationships/hyperlink" Target="https://hudoc.echr.coe.int/eng" TargetMode="External"/><Relationship Id="rId58" Type="http://schemas.openxmlformats.org/officeDocument/2006/relationships/hyperlink" Target="https://hudoc.echr.coe.int/" TargetMode="External"/><Relationship Id="rId5" Type="http://schemas.openxmlformats.org/officeDocument/2006/relationships/hyperlink" Target="https://hudoc.echr.coe.int/eng" TargetMode="External"/><Relationship Id="rId61" Type="http://schemas.openxmlformats.org/officeDocument/2006/relationships/hyperlink" Target="https://hudoc.echr.coe.int/" TargetMode="External"/><Relationship Id="rId19" Type="http://schemas.openxmlformats.org/officeDocument/2006/relationships/hyperlink" Target="https://hudoc.echr.coe.int/eng"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eng" TargetMode="External"/><Relationship Id="rId43" Type="http://schemas.openxmlformats.org/officeDocument/2006/relationships/hyperlink" Target="https://hudoc.echr.coe.int/eng" TargetMode="External"/><Relationship Id="rId48" Type="http://schemas.openxmlformats.org/officeDocument/2006/relationships/hyperlink" Target="https://hudoc.echr.coe.int/eng" TargetMode="External"/><Relationship Id="rId56" Type="http://schemas.openxmlformats.org/officeDocument/2006/relationships/hyperlink" Target="https://hudoc.echr.coe.int/" TargetMode="External"/><Relationship Id="rId64" Type="http://schemas.openxmlformats.org/officeDocument/2006/relationships/fontTable" Target="fontTable.xml"/><Relationship Id="rId8" Type="http://schemas.openxmlformats.org/officeDocument/2006/relationships/hyperlink" Target="https://hudoc.echr.coe.int/eng" TargetMode="External"/><Relationship Id="rId51" Type="http://schemas.openxmlformats.org/officeDocument/2006/relationships/hyperlink" Target="https://hudoc.echr.coe.int/eng" TargetMode="External"/><Relationship Id="rId3" Type="http://schemas.openxmlformats.org/officeDocument/2006/relationships/settings" Target="settings.xml"/><Relationship Id="rId12" Type="http://schemas.openxmlformats.org/officeDocument/2006/relationships/hyperlink" Target="https://hudoc.echr.coe.int/eng" TargetMode="External"/><Relationship Id="rId17" Type="http://schemas.openxmlformats.org/officeDocument/2006/relationships/hyperlink" Target="https://hudoc.echr.coe.int/eng"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 TargetMode="External"/><Relationship Id="rId46" Type="http://schemas.openxmlformats.org/officeDocument/2006/relationships/hyperlink" Target="https://hudoc.echr.coe.int/eng" TargetMode="External"/><Relationship Id="rId59"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41" Type="http://schemas.openxmlformats.org/officeDocument/2006/relationships/hyperlink" Target="https://hudoc.echr.coe.int/eng" TargetMode="External"/><Relationship Id="rId54" Type="http://schemas.openxmlformats.org/officeDocument/2006/relationships/hyperlink" Target="https://hudoc.echr.coe.int/" TargetMode="External"/><Relationship Id="rId62" Type="http://schemas.openxmlformats.org/officeDocument/2006/relationships/hyperlink" Target="https://hudoc.echr.coe.int/" TargetMode="External"/><Relationship Id="rId1" Type="http://schemas.openxmlformats.org/officeDocument/2006/relationships/numbering" Target="numbering.xml"/><Relationship Id="rId6" Type="http://schemas.openxmlformats.org/officeDocument/2006/relationships/hyperlink" Target="https://hudoc.echr.coe.int/eng" TargetMode="External"/><Relationship Id="rId15" Type="http://schemas.openxmlformats.org/officeDocument/2006/relationships/hyperlink" Target="https://hudoc.echr.coe.int/eng" TargetMode="External"/><Relationship Id="rId23" Type="http://schemas.openxmlformats.org/officeDocument/2006/relationships/hyperlink" Target="https://hudoc.echr.coe.int/eng" TargetMode="External"/><Relationship Id="rId28" Type="http://schemas.openxmlformats.org/officeDocument/2006/relationships/hyperlink" Target="https://hudoc.echr.coe.int/eng" TargetMode="External"/><Relationship Id="rId36" Type="http://schemas.openxmlformats.org/officeDocument/2006/relationships/hyperlink" Target="https://hudoc.echr.coe.int/eng" TargetMode="External"/><Relationship Id="rId49" Type="http://schemas.openxmlformats.org/officeDocument/2006/relationships/hyperlink" Target="https://hudoc.echr.coe.int/eng" TargetMode="External"/><Relationship Id="rId57" Type="http://schemas.openxmlformats.org/officeDocument/2006/relationships/hyperlink" Target="https://hudoc.echr.coe.int/eng" TargetMode="External"/><Relationship Id="rId10" Type="http://schemas.openxmlformats.org/officeDocument/2006/relationships/hyperlink" Target="https://hudoc.echr.coe.int/eng" TargetMode="External"/><Relationship Id="rId31" Type="http://schemas.openxmlformats.org/officeDocument/2006/relationships/hyperlink" Target="https://hudoc.echr.coe.int/eng" TargetMode="External"/><Relationship Id="rId44" Type="http://schemas.openxmlformats.org/officeDocument/2006/relationships/hyperlink" Target="https://hudoc.echr.coe.int/eng" TargetMode="External"/><Relationship Id="rId52" Type="http://schemas.openxmlformats.org/officeDocument/2006/relationships/hyperlink" Target="https://hudoc.echr.coe.int/eng" TargetMode="External"/><Relationship Id="rId60" Type="http://schemas.openxmlformats.org/officeDocument/2006/relationships/hyperlink" Target="https://hudoc.echr.coe.int/"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udoc.echr.coe.int/eng" TargetMode="External"/><Relationship Id="rId13" Type="http://schemas.openxmlformats.org/officeDocument/2006/relationships/hyperlink" Target="https://hudoc.echr.coe.int/eng" TargetMode="External"/><Relationship Id="rId18" Type="http://schemas.openxmlformats.org/officeDocument/2006/relationships/hyperlink" Target="https://hudoc.echr.coe.int/eng" TargetMode="External"/><Relationship Id="rId39" Type="http://schemas.openxmlformats.org/officeDocument/2006/relationships/hyperlink" Target="https://hudoc.echr.coe.int/e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15563</Words>
  <Characters>88714</Characters>
  <Application>Microsoft Office Word</Application>
  <DocSecurity>0</DocSecurity>
  <Lines>739</Lines>
  <Paragraphs>208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nacca</dc:creator>
  <cp:keywords/>
  <dc:description/>
  <cp:lastModifiedBy>michela nacca</cp:lastModifiedBy>
  <cp:revision>15</cp:revision>
  <dcterms:created xsi:type="dcterms:W3CDTF">2026-07-05T05:23:00Z</dcterms:created>
  <dcterms:modified xsi:type="dcterms:W3CDTF">2026-07-05T21:16:00Z</dcterms:modified>
</cp:coreProperties>
</file>