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9AA9" w14:textId="3CB9678B" w:rsidR="00164154" w:rsidRPr="00164154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La sentenza </w:t>
      </w:r>
      <w:proofErr w:type="spellStart"/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Ubeda</w:t>
      </w:r>
      <w:proofErr w:type="spellEnd"/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e altri c. Italia: obblighi positivi, inerzia giudiziaria e stereotipi di genere nella risposta statale alla violenza domestica</w:t>
      </w:r>
    </w:p>
    <w:p w14:paraId="386CA72A" w14:textId="77777777" w:rsidR="00164154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Introduzione e contesto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br/>
      </w:r>
    </w:p>
    <w:p w14:paraId="012DDAF3" w14:textId="6B841DDA" w:rsidR="00164154" w:rsidRDefault="00164154" w:rsidP="001641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Sentenza </w:t>
      </w:r>
      <w:proofErr w:type="spellStart"/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Ubeda</w:t>
      </w:r>
      <w:proofErr w:type="spellEnd"/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e altri c. Italia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della Prima Sezione della Corte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uropea dei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iritti dell’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omo (2 luglio 2026) si colloca nel solco, ormai strutturato, della giurisprudenza di Strasburgo sulla violenza domestica come fenomeno che impegna gli Stati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obblighi positivi sia sul versante della prevenzione e protezione (artt. 3 e 8 CEDU) sia su quello dell’indagine e del processo penale (profilo procedurale dell’art. 3), nonché nella cornice dei procedimenti civili e minorili che attengono all’affidamento, alla responsabilità genitoriale e alle misure di protezione.</w:t>
      </w:r>
    </w:p>
    <w:p w14:paraId="6C1D34E3" w14:textId="484554D1" w:rsidR="00164154" w:rsidRPr="00164154" w:rsidRDefault="00164154" w:rsidP="001641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pronuncia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della Corte EDU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accerta, all’unanimità, una duplice violazione: degli artt. 3 e 8 per l’inefficacia della risposta penale alle denunce di violenza domestica e sessuale, e dell’art. 8 per l’inerzia del Tribunale per i minorenni, la permanenza protratta nel rifugio e il mancato esame tempestivo delle domande civili.</w:t>
      </w:r>
    </w:p>
    <w:p w14:paraId="3782CD18" w14:textId="69BDBA41" w:rsidR="00164154" w:rsidRPr="00164154" w:rsidRDefault="00164154" w:rsidP="00A80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struttura della motivazione è scandita in tre nuclei: 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l’ammissibilità (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rigetto delle eccezioni di mancato esaurimento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delle vie interne di ricorso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), 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 violazione degli obblighi positivi ex artt. 3 e 8 nel versante penale,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la 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violazione dell’art. 8 nel versante civile-minorile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La Corte innesta la propria valutazione sui principi affermati in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Kurt c. Austria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(GC) e nelle coeve decisioni contro l’Italia (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Landi, De Giorgi, M.S., </w:t>
      </w:r>
      <w:proofErr w:type="spellStart"/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Scuderoni</w:t>
      </w:r>
      <w:proofErr w:type="spellEnd"/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), ma aggiunge rilievi significativi su stereotipi sessisti nelle motivazioni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espresse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ubblico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inistero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nella richiesta di archiviazione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sulla sproporzione delle misure protettive che finiscono per gravare più sulle vittime che sull’autore.</w:t>
      </w:r>
    </w:p>
    <w:p w14:paraId="3002E976" w14:textId="77777777" w:rsidR="00164154" w:rsidRPr="00164154" w:rsidRDefault="00164154" w:rsidP="00A80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quadro fattuale essenziale</w:t>
      </w:r>
    </w:p>
    <w:p w14:paraId="7AC3223D" w14:textId="565ECF77" w:rsidR="00164154" w:rsidRPr="00164154" w:rsidRDefault="00164154" w:rsidP="00A80E2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prima ricorrente denuncia nel 2021 violenze fisiche e psicologiche su di lei e sui figli, minacce di morte e violenze sessuali aggravate da parte dell’ex convivente G.P. La polizia trasmette il fascicolo e la procura apre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indagini; madre e minori vengono collocati in rifugio protetto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su richiesta della prima richiedente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</w:t>
      </w:r>
    </w:p>
    <w:p w14:paraId="2B057E37" w14:textId="2CB26198" w:rsidR="00164154" w:rsidRPr="00164154" w:rsidRDefault="00164154" w:rsidP="00A80E2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Nel novembre 2021, la procura chiede l’archiviazione con motivazioni in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gran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parte fondate su stereotipi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puntualmente dai Giudici EDU riportate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il coltello alla gola sarebbe stato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solo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brutto scherzo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”; le percosse ai figli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delle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“semplici misure disciplinari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”; sulla violenza sessuale si afferma la difficoltà di provare il difetto di consenso, aggiungendo che </w:t>
      </w:r>
      <w:r w:rsidRPr="00164154"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  <w:t>“[era] normale che gli uomini dovessero superare un livello minimo di resistenza che ogni donna tendeva a mostrare”.</w:t>
      </w:r>
    </w:p>
    <w:p w14:paraId="0CC7C7CB" w14:textId="3C8B7A12" w:rsidR="00164154" w:rsidRPr="00164154" w:rsidRDefault="00164154" w:rsidP="00A80E2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sede civile, la madre chiede nel maggio 2021: affidamento esclusivo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dei minori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revoca della responsabilità genitoriale paterna,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autorizzazione a trasferirsi in Francia e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 un contributo </w:t>
      </w:r>
      <w:proofErr w:type="gramStart"/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mantenimento</w:t>
      </w:r>
      <w:proofErr w:type="gramEnd"/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dei minori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 Il T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ribunale per 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inori di Napoli tuttavia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gramStart"/>
      <w:r w:rsidR="00A80E21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adott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erà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solo</w:t>
      </w:r>
      <w:proofErr w:type="gramEnd"/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nel giugno 2022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misure provvisorie (sospensione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responsabilità genitoriale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paterna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gli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incontri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protetti paterni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), confermando però 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collocazione nel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rifugio; la decisione definitiva che priva il padre della responsabilità arriva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solo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9 maggio 2024, senza pronunciarsi su trasferimento e</w:t>
      </w:r>
      <w:r w:rsidR="00A80E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 anche riguardo il contributo al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mantenimento. I ricorrenti escono dal rifugio l’8 luglio 2024, dopo oltre tre anni.</w:t>
      </w:r>
    </w:p>
    <w:p w14:paraId="674878FB" w14:textId="77777777" w:rsidR="00164154" w:rsidRPr="00164154" w:rsidRDefault="00164154" w:rsidP="00A80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 questioni giuridiche sotto gli artt. 3 e 8 CEDU</w:t>
      </w:r>
    </w:p>
    <w:p w14:paraId="625624E6" w14:textId="77777777" w:rsidR="00164154" w:rsidRPr="00164154" w:rsidRDefault="00164154" w:rsidP="00A80E2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Obblighi positivi di prevenzione e protezione e dovere di indagine efficace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(profilo procedurale dell’art. 3), letti in parallelo con l’art. 8:</w:t>
      </w:r>
    </w:p>
    <w:p w14:paraId="1DD28517" w14:textId="77777777" w:rsidR="00164154" w:rsidRPr="00164154" w:rsidRDefault="00164154" w:rsidP="001641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La Corte richiama il “continuum” tra artt. 2-3-8: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entrambe le disposizioni impongono allo Stato l’obbligo di salvaguardare l’integrità fisica e psicologica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e attivano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il dovere dello Stato di fornire protezione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quando gli attacchi sono sufficientemente gravi.</w:t>
      </w:r>
    </w:p>
    <w:p w14:paraId="30488EA9" w14:textId="77777777" w:rsidR="00164154" w:rsidRPr="00164154" w:rsidRDefault="00164154" w:rsidP="000C62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Riafferma i tre cardini di Kurt: risposta immediata,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“valutazione del rischio autonoma, proattiva e completa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”, misure operative preventive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adeguate e proporzionate al livello di rischio identificato”.</w:t>
      </w:r>
    </w:p>
    <w:p w14:paraId="6A95B1EC" w14:textId="77777777" w:rsidR="00164154" w:rsidRPr="00164154" w:rsidRDefault="00164154" w:rsidP="000C62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Obblighi positivi nel processo civile/minorile (art. 8):</w:t>
      </w:r>
    </w:p>
    <w:p w14:paraId="0BD7A459" w14:textId="77777777" w:rsidR="00164154" w:rsidRPr="00164154" w:rsidRDefault="00164154" w:rsidP="000C62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Decisioni tempestive,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esame approfondito dell’intera situazione familiare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costante attenzione al superiore interesse del minore”.</w:t>
      </w:r>
    </w:p>
    <w:p w14:paraId="6AC8963D" w14:textId="77777777" w:rsidR="00164154" w:rsidRPr="00164154" w:rsidRDefault="00164154" w:rsidP="000C62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Necessità di integrare nel ragionamento giudiziale le allegazioni di violenza domestica per evitare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vittimizzazione secondaria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e per calibrare contatti, custodia e misure di protezione.</w:t>
      </w:r>
    </w:p>
    <w:p w14:paraId="2C388CEF" w14:textId="77777777" w:rsidR="00164154" w:rsidRPr="00164154" w:rsidRDefault="00164154" w:rsidP="000C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 motivazioni della condanna: analisi puntuale</w:t>
      </w:r>
    </w:p>
    <w:p w14:paraId="10838086" w14:textId="77777777" w:rsidR="00164154" w:rsidRPr="00164154" w:rsidRDefault="00164154" w:rsidP="000C6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Versante penale: ritardi, inefficacia e stereotipi di genere (artt. 3 e 8)</w:t>
      </w:r>
    </w:p>
    <w:p w14:paraId="54544461" w14:textId="77777777" w:rsidR="000C6244" w:rsidRPr="000C6244" w:rsidRDefault="00164154" w:rsidP="000C62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Immediatezza sì, ma sproporzione delle misure protettive</w:t>
      </w:r>
      <w:r w:rsidR="000C6244" w:rsidRPr="000C624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. </w:t>
      </w:r>
    </w:p>
    <w:p w14:paraId="1FE64409" w14:textId="21DBBD6B" w:rsidR="00164154" w:rsidRPr="00164154" w:rsidRDefault="00164154" w:rsidP="000C624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Corte riconosce una prima reattività: trasmissione rapida del fascicolo, ascolto con psicologo </w:t>
      </w:r>
      <w:r w:rsidR="000C62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dei minori e della </w:t>
      </w:r>
      <w:proofErr w:type="gramStart"/>
      <w:r w:rsidR="000C62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madre,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collocazione</w:t>
      </w:r>
      <w:proofErr w:type="gramEnd"/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rifugio. Tuttavia, giudica inadeguata la scelta di basare l’intera protezione sulla permanenza in struttura: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“il rifugio dei richiedenti… durò più di tre anni e comportò una significativa interferenza con i loro diritti e libertà… la misura adottata ha imposto un onere maggiore alle presunte vittime… rispetto al G.P., il presunto colpevole, che non sembra essere stato soggetto a</w:t>
      </w:r>
      <w:r w:rsidR="000C624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alcuna misura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La Corte sottolinea </w:t>
      </w:r>
      <w:r w:rsidR="000C62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inoltre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l’assenza di un riesame dinamico e di alternative meno invasive: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“non… che, durante quel periodo, le autorità abbiano considerato la possibilità di adottare misure diverse… [come] assegnare la casa di famiglia ai richiedenti… autorizzare la loro richiesta di trasferimento in Francia… imponendo al [padre] un ordine restrittivo… [né] una valutazione continua dell’adeguatezza e proporzionalità”.</w:t>
      </w:r>
    </w:p>
    <w:p w14:paraId="5FCCDF50" w14:textId="65F3313F" w:rsidR="00164154" w:rsidRPr="00164154" w:rsidRDefault="00164154" w:rsidP="001641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Obbligo di indagine efficace: tempi e qualità</w:t>
      </w:r>
      <w:r w:rsidR="000C624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.</w:t>
      </w:r>
    </w:p>
    <w:p w14:paraId="519FFC4B" w14:textId="0381FECC" w:rsidR="00164154" w:rsidRPr="00164154" w:rsidRDefault="000C6244" w:rsidP="000C62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Corte evidenzia che i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ritardi processuali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hanno inciso negativamente 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sull’efficacia: “</w:t>
      </w:r>
      <w:r w:rsidR="00164154"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esiste un chiaro legame tra i ritardi e l’efficacia complessiva dell’indagine… il procedimento penale è stato avviato nell’aprile 2021 e non sembra che la prima udienza si sia tenuta entro gennaio 2025… il notevole ritardo… rischia seriamente di minare l’efficacia della protezione giudiziaria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</w:t>
      </w:r>
    </w:p>
    <w:p w14:paraId="019EA93C" w14:textId="06511B10" w:rsidR="00164154" w:rsidRPr="00164154" w:rsidRDefault="00164154" w:rsidP="000C62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Corte giudica l’indagine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non “tempestiva, approfondita ed efficace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</w:t>
      </w:r>
      <w:r w:rsidR="000C62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come avrebbe dovuto essere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si rileva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infatti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richiesta di archiviazione del PM dopo pochi mesi, poi un’attività istruttoria in gran parte ripetitiva, con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continui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rinvii non giustificati.</w:t>
      </w:r>
    </w:p>
    <w:p w14:paraId="67A5BB00" w14:textId="77777777" w:rsidR="00AA5EF2" w:rsidRPr="00AA5EF2" w:rsidRDefault="00164154" w:rsidP="00AA5E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Motivazioni sessiste e stereotipate</w:t>
      </w:r>
      <w:r w:rsidR="00AA5EF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.</w:t>
      </w:r>
    </w:p>
    <w:p w14:paraId="58B452C2" w14:textId="77777777" w:rsidR="00AA5EF2" w:rsidRDefault="00164154" w:rsidP="00AA5EF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Elemento dirimente è la censura alle espressioni usate dal PM: la Corte le qualifica come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“motivazioni che riflettevano una cultura sessista e stereotipata che deve essere evitata nelle aule di tribunale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”, collegandole alle preoccupazioni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espresse dalla Commissione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GREVIO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nel gennaio 2020 e ripetute nel 2025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su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stereotipi di genere e pregiudizi… e [la] tendenza a sottovalutare la gravità delle… violenze”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3ECF0A0F" w14:textId="4AB68FB8" w:rsidR="00164154" w:rsidRPr="00164154" w:rsidRDefault="00164154" w:rsidP="00AA5EF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frase secondo cui sarebbe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normale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 che l’uomo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“superi un livello minimo di resistenza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 è paradigmatica di una concezione che normalizza la costrizione sessuale intra-familiare, con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l’effetto di innalzare indebitamente la soglia probatoria sulla non consensualità.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Per la Corte, simili stereotipi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“contribuiscono all’accettazione della violenza domestica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e alimentano la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vittimizzazione secondaria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</w:t>
      </w:r>
    </w:p>
    <w:p w14:paraId="4BE7FBFC" w14:textId="77777777" w:rsidR="00AA5EF2" w:rsidRDefault="00164154" w:rsidP="001641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Conclusione sul versante penale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7C1C22F" w14:textId="65697509" w:rsidR="00164154" w:rsidRPr="00164154" w:rsidRDefault="00164154" w:rsidP="00AA5EF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Dall’insieme di sproporzione protettiva, ritardi e stereotipi deriva la violazione degli obblighi positivi: le autorità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non hanno adottato misure adeguate e proporzionate” e “hanno fallito… fornire una risposta proporzionata alla gravità dei fatti… [né] garantire che il colpevole fosse perseguito… senza indebito ritardo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sentenzia la Corte EDU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 La violazione è ascritta congiuntamente agli artt. 3 (profilo procedurale) e 8.</w:t>
      </w:r>
    </w:p>
    <w:p w14:paraId="4F43571F" w14:textId="77777777" w:rsidR="00164154" w:rsidRPr="00164154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B) Versante civile-minorile: inerzia, modelli prestampati e mancata centralità del best </w:t>
      </w:r>
      <w:proofErr w:type="spellStart"/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interest</w:t>
      </w:r>
      <w:proofErr w:type="spellEnd"/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(art. 8)</w:t>
      </w:r>
    </w:p>
    <w:p w14:paraId="547A3F7E" w14:textId="77777777" w:rsidR="00AA5EF2" w:rsidRDefault="00164154" w:rsidP="001641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Ritardi ingiustificati e decisioni parzial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</w:p>
    <w:p w14:paraId="65721621" w14:textId="6D3FD7D0" w:rsidR="00164154" w:rsidRPr="00164154" w:rsidRDefault="00164154" w:rsidP="00AA5EF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Corte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anche in ambito civile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osserva che tra la domanda del maggio 2021 e la decisione definitiva del maggio 2024 intercorrono oltre tre anni, con una sola misura provvisoria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emessa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 giugno 2022. La decisione finale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priva il padre della responsabilità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 ma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“senza rispondere alle richieste rimanenti… [trasferimento in Francia e mantenimento]”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perpetuando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cosi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incertezza giuridica e materiale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 anche psicologica sui Ricorrenti, di cui due minorenni e quindi maggiormente vulnerabili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64C7CFF8" w14:textId="5D17E330" w:rsidR="00164154" w:rsidRPr="00AA5EF2" w:rsidRDefault="00164154" w:rsidP="00C240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Ignora</w:t>
      </w:r>
      <w:r w:rsidR="00AA5EF2" w:rsidRPr="00AA5EF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 le allegazioni di violenza nei provvedimenti civili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Colpisce l’uso di un provvedimento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su modello prestampato… senza alcuna analisi dettagliata dei fatti o valutazione del merito delle dichiarazioni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 La Corte rimarca che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le decisioni… hanno ignorato le accuse di violenza domestica”, benché ampiamente articolate e corroborate da molteplici report: servizi sociali, psicologi, struttura di accoglienza, ASL.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br/>
        <w:t>Questo approccio “mina la fiducia” delle vittime nella capacità dei tribunali civili di proteggere e contrasta con il dovere, ribadito anche dalla Cassazione e dalla Convenzione di Istanbul, di prevenire la “vittimizzazione secondaria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</w:t>
      </w:r>
    </w:p>
    <w:p w14:paraId="7D8FB2ED" w14:textId="77777777" w:rsidR="00AA5EF2" w:rsidRPr="00AA5EF2" w:rsidRDefault="00AA5EF2" w:rsidP="00AA5E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0825115" w14:textId="6138864E" w:rsidR="00164154" w:rsidRDefault="00164154" w:rsidP="00AA5E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Permanenza triennale nel rifugio e impatto sui minori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La Corte valorizza i report che descrivono gli effetti delle regole restrittive del rifugio su sport, socialità e benessere, nonché i segnali di sofferenza dei minori (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paura, rifiuto degli incontri, cambiamenti comportamentali, episodi di incontinenza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). Sottolinea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negativamente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la lunga permanenza dei minori nel rifugio ha comportato conseguenze significative per il loro benessere psicologico e fisico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e che nessuna decisione ha svolto una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valutazione attenta e genuina”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tale impatto, in contrasto con il principio del superiore interesse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minore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7531EC6" w14:textId="77777777" w:rsidR="00AA5EF2" w:rsidRDefault="00AA5EF2" w:rsidP="00AA5EF2">
      <w:pPr>
        <w:pStyle w:val="Paragrafoelenc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26D735E" w14:textId="2200E852" w:rsidR="00164154" w:rsidRPr="00164154" w:rsidRDefault="00164154" w:rsidP="00AA5E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Mancata considerazione di alternative e del trasferimento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È stigmatizzato il mancato esame di misure meno afflittive: assegnazione della casa familiare, ordini di protezione, trasferimento in Francia, definizione del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contributo al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mantenimento. La mancata decisione sul trasferimento, pur a fronte della rete familiare e del supporto in Francia, ha perpetuato l’onere sulle vittime e la compressione della loro vita privata e familiare.</w:t>
      </w:r>
    </w:p>
    <w:p w14:paraId="3BEF7D5E" w14:textId="257C7A2D" w:rsidR="00164154" w:rsidRPr="00164154" w:rsidRDefault="00164154" w:rsidP="00AA5E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>Conclusione sul versante civile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Secondo la Corte EDU l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 sola durata del procedimento 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è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“sufficiente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a integrare la violazione dell’art. 8; nel caso concreto, essa si cumula con la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completa assenza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 di un’analisi delle violenze e con l’omessa valutazione dell’impatto del rifugio, conducendo alla constatazione di violazione per tutti i ricorrenti, con specificità: per la madre, la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“mancanza di agire con la dovuta diligenza e tempestività”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 per i figli, l’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“incertezza prolungata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e la compressione dei diritti e libertà quotidiani non conciliabile con il loro miglior interesse.</w:t>
      </w:r>
    </w:p>
    <w:p w14:paraId="6DA95D09" w14:textId="089E67F1" w:rsidR="00164154" w:rsidRPr="00164154" w:rsidRDefault="00164154" w:rsidP="00AA5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Il ruolo della legislazione nazionale e della giurisprudenza interna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La Corte non contesta l’adeguatezza in astratto del quadro italiano: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le misure giuridiche e operative… hanno concesso alle autorità una gamma sufficientemente ampia di possibilità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 Richiama il Decreto legislativo 149/2022 (rito prioritario e poteri istruttori officiosi nei casi di violenza domestica), il “Codice Rosso” e gli arresti della Cassazione del 2024-2025 sull’indi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spensabile istruttoria giudiziale da effettuare in ambito </w:t>
      </w:r>
      <w:proofErr w:type="gramStart"/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civile ,</w:t>
      </w:r>
      <w:proofErr w:type="gramEnd"/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indipendentemente dagli esiti del tribunale penale,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sull’urgenza di misure idonee e sulla lettura conforme alla Convenzione di Istanbul</w:t>
      </w:r>
      <w:r w:rsidR="00AA5EF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specie con riguardo all’art. 31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La violazione nasce dunque dall’applicazione concreta: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strumenti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erano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disponibili ma non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sono stati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utilizzati con la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eccezionale diligenza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richiesta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nei casi di violenza domestica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 da un ragionamento giudiziale che non integra il fattore-violenza.</w:t>
      </w:r>
    </w:p>
    <w:p w14:paraId="1563039B" w14:textId="63ED053E" w:rsidR="00164154" w:rsidRPr="00164154" w:rsidRDefault="001D2FDF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 f</w:t>
      </w:r>
      <w:r w:rsidR="00164154"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rasi chiave della sentenza</w:t>
      </w:r>
    </w:p>
    <w:p w14:paraId="128E02FD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Il rifugio dei richiedenti in un rifugio per più di tre anni comportava una significativa interferenza con i loro diritti e libertà e imponeva loro un onere più pesante rispetto al presunto autore.”</w:t>
      </w:r>
    </w:p>
    <w:p w14:paraId="6D1567CB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Non… che le autorità… abbiano considerato… altre misure… o una valutazione continua dell’adeguatezza e proporzionalità dell’accoglienza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.”</w:t>
      </w:r>
    </w:p>
    <w:p w14:paraId="693BC650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“I procedimenti contestati non hanno soddisfatto i requisiti di un’indagine ‘tempestiva’, ‘approfondita’ ed ‘efficace’.”</w:t>
      </w:r>
    </w:p>
    <w:p w14:paraId="3533D6BC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“Le motivazioni… riflettevano una cultura sessista e stereotipata che deve essere evitata nelle aule di tribunale.”</w:t>
      </w:r>
    </w:p>
    <w:p w14:paraId="20C1C4D0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“Le decisioni… hanno ignorato le accuse di violenza domestica… rafforzando e prolungando la sua sofferenza.”</w:t>
      </w:r>
    </w:p>
    <w:p w14:paraId="44A82339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“La lunga permanenza dei minori nel rifugio ha comportato conseguenze significative per il loro benessere psicologico e fisico.”</w:t>
      </w:r>
    </w:p>
    <w:p w14:paraId="015C1C60" w14:textId="77777777" w:rsidR="00164154" w:rsidRPr="00164154" w:rsidRDefault="00164154" w:rsidP="001D2F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“Completa assenza… di qualsiasi riferimento alle dichiarazioni [dei </w:t>
      </w:r>
      <w:proofErr w:type="gramStart"/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minori]…</w:t>
      </w:r>
      <w:proofErr w:type="gramEnd"/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 alla validità delle denunce.”</w:t>
      </w:r>
    </w:p>
    <w:p w14:paraId="45B93A1C" w14:textId="36A7142F" w:rsidR="00164154" w:rsidRPr="00164154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 funzione sistemica della pronuncia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Dalla lettura della Sentenza emergono t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 messaggi sistemici:</w:t>
      </w:r>
    </w:p>
    <w:p w14:paraId="6DF71697" w14:textId="2F0EEA51" w:rsidR="00164154" w:rsidRPr="00164154" w:rsidRDefault="00164154" w:rsidP="001D2FD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Proporzionalità delle misure protettive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la protezione non può tradursi in un trasferimento permanente dell’onere sulle vittime. L’uso del rifugio deve essere eccezionale, riesaminato periodicamente e accompagnato, ove possibile, da misure che incidano sul comportamento dell’autore (allontanamento, divieti di avvicinamento, sorveglianza,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condanna al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sostegno economico).</w:t>
      </w:r>
    </w:p>
    <w:p w14:paraId="3B2AA308" w14:textId="1E55A94E" w:rsidR="00164154" w:rsidRPr="00164154" w:rsidRDefault="00164154" w:rsidP="001D2FD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Centralità della dimensione “violenza domestica” nel civile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contatti e valutazioni genitoriali devono esplicitamente misurarsi con allegazioni credibili di violenza; modelli decisionali standardizzati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affetti da automatismi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vaghi sono incompatibili con il dovere di scrutinio approfondito e con la prevenzione della vittimizzazione secondaria.</w:t>
      </w:r>
    </w:p>
    <w:p w14:paraId="6DBD2D44" w14:textId="096761E0" w:rsidR="00164154" w:rsidRPr="00164154" w:rsidRDefault="00164154" w:rsidP="001D2FD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Rifiuto degli stereotipi di genere nel penale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narrazioni che normalizzano la coercizione sessuale intra-coppia o minimizzano la violenza fisica sui minori come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disciplinare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 sono,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oltre che giuridicamente errate, contrarie a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 principi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CEDU e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alla Convenzione di Istanbul; esse inquinano la valutazione probatoria e scardinano la fiducia delle vittime nel sistema.</w:t>
      </w:r>
    </w:p>
    <w:p w14:paraId="0D7E6EDC" w14:textId="77777777" w:rsidR="00164154" w:rsidRPr="00164154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Rimedi e giusta soddisfazione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La Corte liquida 15.000 euro ciascuno per danno non patrimoniale ai tre ricorrenti e 15.000 euro congiunti per spese, sottolineando che i ricorrenti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abbiano indubbiamente sperimentato ansia e disagio a causa del mancato rispetto… degli obblighi positivi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 Non riconosce il danno patrimoniale per difetto di nesso causale provato.</w:t>
      </w:r>
    </w:p>
    <w:p w14:paraId="466FA9CA" w14:textId="77777777" w:rsidR="00164154" w:rsidRPr="00164154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Implicazioni pratiche per l’ordinamento italiano</w:t>
      </w:r>
    </w:p>
    <w:p w14:paraId="44D1893E" w14:textId="679634E6" w:rsidR="00164154" w:rsidRPr="00164154" w:rsidRDefault="00164154" w:rsidP="001D2FD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</w:t>
      </w:r>
      <w:r w:rsidR="001D2FD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er le P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rocure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Corte </w:t>
      </w:r>
      <w:proofErr w:type="spellStart"/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Edu</w:t>
      </w:r>
      <w:proofErr w:type="spellEnd"/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indica l’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assegnazione a magistrati specializzati;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formazione obbligatoria;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linee guida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chiare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evitare linguaggi e presupposti stereotipati;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uso effettivo delle misure cautelari e di protezione;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priorità e calendarizzazione serrata (evitare rinvii non motivati).</w:t>
      </w:r>
    </w:p>
    <w:p w14:paraId="358AE7B7" w14:textId="74F8DB90" w:rsidR="00164154" w:rsidRPr="00164154" w:rsidRDefault="001D2FDF" w:rsidP="001D2FD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Per i </w:t>
      </w:r>
      <w:r w:rsidR="00164154"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Tribunali per i minorenni e 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T.O. S</w:t>
      </w:r>
      <w:r w:rsidR="00164154"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ezioni famiglia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decisioni motivate in concreto, con parte dedicata </w:t>
      </w:r>
      <w:r w:rsidRPr="001D2FDF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in primis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alla violenza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domestica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; audizione dei minori e valutazioni cliniche valorizzate; uso di misure civili incisive (allontanamento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autore, assegnazione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della 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casa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famigliare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fissazione dei </w:t>
      </w:r>
      <w:r w:rsidR="00164154"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contributi economici); definizione tempestiva di affidamento, mantenimento e trasferimento internazionale ove compatibile con l’interesse del minore.</w:t>
      </w:r>
    </w:p>
    <w:p w14:paraId="2CE8294E" w14:textId="77777777" w:rsidR="00164154" w:rsidRPr="00164154" w:rsidRDefault="00164154" w:rsidP="001D2FD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Servizi sociali e strutture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piani individuali di protezione con obiettivi, durate e riesami periodici; report che valutino non solo il rischio, ma anche l’impatto delle misure sulle libertà e sul benessere dei minori.</w:t>
      </w:r>
    </w:p>
    <w:p w14:paraId="6185564C" w14:textId="65BD3339" w:rsidR="00164154" w:rsidRPr="00164154" w:rsidRDefault="00164154" w:rsidP="001D2FD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Formazione e cultura giudiziaria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Corte EDU chiede ai magistrati italiani </w:t>
      </w:r>
      <w:proofErr w:type="gramStart"/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attuazione</w:t>
      </w:r>
      <w:proofErr w:type="gramEnd"/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delle raccomandazioni GREVIO e CEDAW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esplicitamente richiamate nella decisione,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 stereotipi e vittimizzazione secondaria; monitoraggio della durata dei procedimenti per prevenire “inerzie strutturali”.</w:t>
      </w:r>
    </w:p>
    <w:p w14:paraId="40B5F4B3" w14:textId="77777777" w:rsidR="001D2FDF" w:rsidRDefault="00164154" w:rsidP="00164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Conclusione</w:t>
      </w:r>
      <w:r w:rsidRPr="0016415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br/>
      </w:r>
    </w:p>
    <w:p w14:paraId="29C51B9E" w14:textId="77777777" w:rsidR="001D2FDF" w:rsidRDefault="00164154" w:rsidP="001D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Ubeda</w:t>
      </w:r>
      <w:proofErr w:type="spellEnd"/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altri c. Italia ribadisce che gli obblighi positivi in materia di violenza domestica richiedono un’azione statale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tempestiva, informata e proporzionata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che non si limiti a mettere “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in sicurezza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 le vittime sacrificando, </w:t>
      </w:r>
      <w:r w:rsidRPr="0016415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sine die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la loro vita privata e familiare, ma che responsabilizzi l’autore, rimuova i fattori di rischio e produca decisioni civili e penali motivate e libere da stereotipi. La violazione accertata discende dall’inadeguatezza combinata di protezione, indagine e decisione: un monito chiaro a </w:t>
      </w:r>
      <w:r w:rsidR="001D2FD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noi Magistrati a 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trasformare strumenti normativi già esistenti in prassi effettive, rispettose della dignità delle vittime e del superiore interesse dei minori. </w:t>
      </w:r>
    </w:p>
    <w:p w14:paraId="534C8DF4" w14:textId="4289566B" w:rsidR="00164154" w:rsidRPr="00164154" w:rsidRDefault="00164154" w:rsidP="001D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ultima analisi, la Corte richiama alla coerenza tra il dichiarato rafforzamento del quadro legislativo e la sua applicazione quotidiana, perché “</w:t>
      </w:r>
      <w:r w:rsidRPr="00164154">
        <w:rPr>
          <w:rFonts w:ascii="Times New Roman" w:eastAsia="Times New Roman" w:hAnsi="Times New Roman" w:cs="Times New Roman"/>
          <w:i/>
          <w:iCs/>
          <w:kern w:val="0"/>
          <w:u w:val="single"/>
          <w:lang w:eastAsia="it-IT"/>
          <w14:ligatures w14:val="none"/>
        </w:rPr>
        <w:t>la protezione garantita dal diritto interno [non] esista solo in teoria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”, ma operi </w:t>
      </w:r>
      <w:r w:rsidRPr="00164154">
        <w:rPr>
          <w:rFonts w:ascii="Times New Roman" w:eastAsia="Times New Roman" w:hAnsi="Times New Roman" w:cs="Times New Roman"/>
          <w:i/>
          <w:iCs/>
          <w:kern w:val="0"/>
          <w:u w:val="single"/>
          <w:lang w:eastAsia="it-IT"/>
          <w14:ligatures w14:val="none"/>
        </w:rPr>
        <w:t>“efficacemente anche nella pratica</w:t>
      </w:r>
      <w:r w:rsidRPr="0016415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”.</w:t>
      </w:r>
    </w:p>
    <w:p w14:paraId="7647D429" w14:textId="77777777" w:rsidR="003F5901" w:rsidRDefault="003F5901"/>
    <w:sectPr w:rsidR="003F59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274"/>
    <w:multiLevelType w:val="multilevel"/>
    <w:tmpl w:val="7880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D216A"/>
    <w:multiLevelType w:val="multilevel"/>
    <w:tmpl w:val="531A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619B7"/>
    <w:multiLevelType w:val="multilevel"/>
    <w:tmpl w:val="4DF2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52C93"/>
    <w:multiLevelType w:val="multilevel"/>
    <w:tmpl w:val="8B6C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0700F"/>
    <w:multiLevelType w:val="multilevel"/>
    <w:tmpl w:val="5D2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D328A"/>
    <w:multiLevelType w:val="multilevel"/>
    <w:tmpl w:val="332E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B3C51"/>
    <w:multiLevelType w:val="multilevel"/>
    <w:tmpl w:val="5B987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452AF1"/>
    <w:multiLevelType w:val="multilevel"/>
    <w:tmpl w:val="4C4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137BFE"/>
    <w:multiLevelType w:val="multilevel"/>
    <w:tmpl w:val="06D6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B03F65"/>
    <w:multiLevelType w:val="multilevel"/>
    <w:tmpl w:val="6E761A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684909"/>
    <w:multiLevelType w:val="multilevel"/>
    <w:tmpl w:val="65C8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54D8E"/>
    <w:multiLevelType w:val="multilevel"/>
    <w:tmpl w:val="3246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343735">
    <w:abstractNumId w:val="1"/>
  </w:num>
  <w:num w:numId="2" w16cid:durableId="95489275">
    <w:abstractNumId w:val="10"/>
  </w:num>
  <w:num w:numId="3" w16cid:durableId="1748451866">
    <w:abstractNumId w:val="5"/>
  </w:num>
  <w:num w:numId="4" w16cid:durableId="1598950415">
    <w:abstractNumId w:val="6"/>
  </w:num>
  <w:num w:numId="5" w16cid:durableId="1256088254">
    <w:abstractNumId w:val="7"/>
  </w:num>
  <w:num w:numId="6" w16cid:durableId="1776634614">
    <w:abstractNumId w:val="8"/>
  </w:num>
  <w:num w:numId="7" w16cid:durableId="1231963837">
    <w:abstractNumId w:val="4"/>
  </w:num>
  <w:num w:numId="8" w16cid:durableId="393623675">
    <w:abstractNumId w:val="9"/>
  </w:num>
  <w:num w:numId="9" w16cid:durableId="1134525561">
    <w:abstractNumId w:val="2"/>
  </w:num>
  <w:num w:numId="10" w16cid:durableId="964045315">
    <w:abstractNumId w:val="3"/>
  </w:num>
  <w:num w:numId="11" w16cid:durableId="638725222">
    <w:abstractNumId w:val="11"/>
  </w:num>
  <w:num w:numId="12" w16cid:durableId="15978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D"/>
    <w:rsid w:val="000C6244"/>
    <w:rsid w:val="00164154"/>
    <w:rsid w:val="001D2FDF"/>
    <w:rsid w:val="003C6BE5"/>
    <w:rsid w:val="003F5901"/>
    <w:rsid w:val="007B5A95"/>
    <w:rsid w:val="00A2595D"/>
    <w:rsid w:val="00A80E21"/>
    <w:rsid w:val="00AA5EF2"/>
    <w:rsid w:val="00C03585"/>
    <w:rsid w:val="00DA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A5E0"/>
  <w15:chartTrackingRefBased/>
  <w15:docId w15:val="{964A8BB3-5953-47B0-BF46-D79211C4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5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5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5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5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5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5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5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5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5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5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5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5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59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59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59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59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59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59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5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5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5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5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59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59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59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5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59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59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nacca</dc:creator>
  <cp:keywords/>
  <dc:description/>
  <cp:lastModifiedBy>michela nacca</cp:lastModifiedBy>
  <cp:revision>4</cp:revision>
  <dcterms:created xsi:type="dcterms:W3CDTF">2026-07-05T19:13:00Z</dcterms:created>
  <dcterms:modified xsi:type="dcterms:W3CDTF">2026-07-05T21:13:00Z</dcterms:modified>
</cp:coreProperties>
</file>